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E77D0" w14:textId="390615EA" w:rsidR="001E0A28" w:rsidRPr="00845BC9" w:rsidRDefault="001E0A28" w:rsidP="001E0A28">
      <w:pPr>
        <w:spacing w:after="120"/>
        <w:ind w:left="1985" w:hanging="1985"/>
        <w:rPr>
          <w:rFonts w:ascii="Arial" w:eastAsiaTheme="minorEastAsia" w:hAnsi="Arial" w:cs="Arial"/>
          <w:b/>
          <w:sz w:val="24"/>
          <w:szCs w:val="24"/>
          <w:lang w:val="en-US" w:eastAsia="zh-CN"/>
        </w:rPr>
      </w:pPr>
      <w:r w:rsidRPr="00845BC9">
        <w:rPr>
          <w:rFonts w:ascii="Arial" w:eastAsiaTheme="minorEastAsia" w:hAnsi="Arial" w:cs="Arial"/>
          <w:b/>
          <w:sz w:val="24"/>
          <w:szCs w:val="24"/>
          <w:lang w:val="en-US" w:eastAsia="zh-CN"/>
        </w:rPr>
        <w:t xml:space="preserve">3GPP TSG-RAN WG4 Meeting # </w:t>
      </w:r>
      <w:r w:rsidR="001128E7" w:rsidRPr="00845BC9">
        <w:rPr>
          <w:rFonts w:ascii="Arial" w:eastAsiaTheme="minorEastAsia" w:hAnsi="Arial" w:cs="Arial"/>
          <w:b/>
          <w:sz w:val="24"/>
          <w:szCs w:val="24"/>
          <w:lang w:val="en-US" w:eastAsia="zh-CN"/>
        </w:rPr>
        <w:t>10</w:t>
      </w:r>
      <w:r w:rsidR="00F95A7B" w:rsidRPr="00845BC9">
        <w:rPr>
          <w:rFonts w:ascii="Arial" w:eastAsiaTheme="minorEastAsia" w:hAnsi="Arial" w:cs="Arial"/>
          <w:b/>
          <w:sz w:val="24"/>
          <w:szCs w:val="24"/>
          <w:lang w:val="en-US" w:eastAsia="zh-CN"/>
        </w:rPr>
        <w:t>4</w:t>
      </w:r>
      <w:r w:rsidR="003F3A2F" w:rsidRPr="00845BC9">
        <w:rPr>
          <w:rFonts w:ascii="Arial" w:eastAsiaTheme="minorEastAsia" w:hAnsi="Arial" w:cs="Arial"/>
          <w:b/>
          <w:sz w:val="24"/>
          <w:szCs w:val="24"/>
          <w:lang w:val="en-US" w:eastAsia="zh-CN"/>
        </w:rPr>
        <w:t>-e</w:t>
      </w:r>
      <w:r w:rsidRPr="00845BC9">
        <w:rPr>
          <w:rFonts w:ascii="Arial" w:eastAsiaTheme="minorEastAsia" w:hAnsi="Arial" w:cs="Arial"/>
          <w:b/>
          <w:sz w:val="24"/>
          <w:szCs w:val="24"/>
          <w:lang w:val="en-US" w:eastAsia="zh-CN"/>
        </w:rPr>
        <w:tab/>
      </w:r>
      <w:r w:rsidRPr="00845BC9">
        <w:rPr>
          <w:rFonts w:ascii="Arial" w:eastAsiaTheme="minorEastAsia" w:hAnsi="Arial" w:cs="Arial"/>
          <w:b/>
          <w:sz w:val="24"/>
          <w:szCs w:val="24"/>
          <w:lang w:val="en-US" w:eastAsia="zh-CN"/>
        </w:rPr>
        <w:tab/>
      </w:r>
      <w:r w:rsidRPr="00845BC9">
        <w:rPr>
          <w:rFonts w:ascii="Arial" w:eastAsiaTheme="minorEastAsia" w:hAnsi="Arial" w:cs="Arial"/>
          <w:b/>
          <w:sz w:val="24"/>
          <w:szCs w:val="24"/>
          <w:lang w:val="en-US" w:eastAsia="zh-CN"/>
        </w:rPr>
        <w:tab/>
      </w:r>
      <w:r w:rsidRPr="00845BC9">
        <w:rPr>
          <w:rFonts w:ascii="Arial" w:eastAsiaTheme="minorEastAsia" w:hAnsi="Arial" w:cs="Arial"/>
          <w:b/>
          <w:sz w:val="24"/>
          <w:szCs w:val="24"/>
          <w:lang w:val="en-US" w:eastAsia="zh-CN"/>
        </w:rPr>
        <w:tab/>
      </w:r>
      <w:r w:rsidRPr="00845BC9">
        <w:rPr>
          <w:rFonts w:ascii="Arial" w:eastAsiaTheme="minorEastAsia" w:hAnsi="Arial" w:cs="Arial"/>
          <w:b/>
          <w:sz w:val="24"/>
          <w:szCs w:val="24"/>
          <w:lang w:val="en-US" w:eastAsia="zh-CN"/>
        </w:rPr>
        <w:tab/>
      </w:r>
      <w:r w:rsidRPr="00845BC9">
        <w:rPr>
          <w:rFonts w:ascii="Arial" w:eastAsiaTheme="minorEastAsia" w:hAnsi="Arial" w:cs="Arial"/>
          <w:b/>
          <w:sz w:val="24"/>
          <w:szCs w:val="24"/>
          <w:lang w:val="en-US" w:eastAsia="zh-CN"/>
        </w:rPr>
        <w:tab/>
      </w:r>
      <w:r w:rsidRPr="00845BC9">
        <w:rPr>
          <w:rFonts w:ascii="Arial" w:eastAsiaTheme="minorEastAsia" w:hAnsi="Arial" w:cs="Arial"/>
          <w:b/>
          <w:sz w:val="24"/>
          <w:szCs w:val="24"/>
          <w:lang w:val="en-US" w:eastAsia="zh-CN"/>
        </w:rPr>
        <w:tab/>
      </w:r>
      <w:r w:rsidRPr="00845BC9">
        <w:rPr>
          <w:rFonts w:ascii="Arial" w:eastAsiaTheme="minorEastAsia" w:hAnsi="Arial" w:cs="Arial"/>
          <w:b/>
          <w:sz w:val="24"/>
          <w:szCs w:val="24"/>
          <w:lang w:val="en-US" w:eastAsia="zh-CN"/>
        </w:rPr>
        <w:tab/>
      </w:r>
      <w:r w:rsidRPr="00845BC9">
        <w:rPr>
          <w:rFonts w:ascii="Arial" w:eastAsiaTheme="minorEastAsia" w:hAnsi="Arial" w:cs="Arial"/>
          <w:b/>
          <w:sz w:val="24"/>
          <w:szCs w:val="24"/>
          <w:lang w:val="en-US" w:eastAsia="zh-CN"/>
        </w:rPr>
        <w:tab/>
      </w:r>
      <w:r w:rsidRPr="00845BC9">
        <w:rPr>
          <w:rFonts w:ascii="Arial" w:eastAsiaTheme="minorEastAsia" w:hAnsi="Arial" w:cs="Arial"/>
          <w:b/>
          <w:sz w:val="24"/>
          <w:szCs w:val="24"/>
          <w:lang w:val="en-US" w:eastAsia="zh-CN"/>
        </w:rPr>
        <w:tab/>
      </w:r>
      <w:r w:rsidRPr="00845BC9">
        <w:rPr>
          <w:rFonts w:ascii="Arial" w:eastAsiaTheme="minorEastAsia" w:hAnsi="Arial" w:cs="Arial"/>
          <w:b/>
          <w:sz w:val="24"/>
          <w:szCs w:val="24"/>
          <w:lang w:val="en-US" w:eastAsia="zh-CN"/>
        </w:rPr>
        <w:tab/>
      </w:r>
      <w:r w:rsidRPr="00845BC9">
        <w:rPr>
          <w:rFonts w:ascii="Arial" w:eastAsiaTheme="minorEastAsia" w:hAnsi="Arial" w:cs="Arial"/>
          <w:b/>
          <w:sz w:val="24"/>
          <w:szCs w:val="24"/>
          <w:lang w:val="en-US" w:eastAsia="zh-CN"/>
        </w:rPr>
        <w:tab/>
      </w:r>
      <w:r w:rsidRPr="00A9133F">
        <w:rPr>
          <w:rFonts w:ascii="Arial" w:eastAsiaTheme="minorEastAsia" w:hAnsi="Arial" w:cs="Arial"/>
          <w:b/>
          <w:sz w:val="24"/>
          <w:szCs w:val="24"/>
          <w:lang w:val="en-US" w:eastAsia="zh-CN"/>
        </w:rPr>
        <w:t>R4-</w:t>
      </w:r>
      <w:r w:rsidR="003F3A2F" w:rsidRPr="00A9133F">
        <w:rPr>
          <w:rFonts w:ascii="Arial" w:eastAsiaTheme="minorEastAsia" w:hAnsi="Arial" w:cs="Arial"/>
          <w:b/>
          <w:sz w:val="24"/>
          <w:szCs w:val="24"/>
          <w:lang w:val="en-US" w:eastAsia="zh-CN"/>
        </w:rPr>
        <w:t>2</w:t>
      </w:r>
      <w:r w:rsidR="000D19DE" w:rsidRPr="00A9133F">
        <w:rPr>
          <w:rFonts w:ascii="Arial" w:eastAsiaTheme="minorEastAsia" w:hAnsi="Arial" w:cs="Arial"/>
          <w:b/>
          <w:sz w:val="24"/>
          <w:szCs w:val="24"/>
          <w:lang w:val="en-US" w:eastAsia="zh-CN"/>
        </w:rPr>
        <w:t>2</w:t>
      </w:r>
      <w:r w:rsidR="00A9133F" w:rsidRPr="00A9133F">
        <w:rPr>
          <w:rFonts w:ascii="Arial" w:eastAsiaTheme="minorEastAsia" w:hAnsi="Arial" w:cs="Arial"/>
          <w:b/>
          <w:sz w:val="24"/>
          <w:szCs w:val="24"/>
          <w:lang w:val="en-US" w:eastAsia="zh-CN"/>
        </w:rPr>
        <w:t>13253</w:t>
      </w:r>
    </w:p>
    <w:p w14:paraId="55771D56" w14:textId="105BDA23" w:rsidR="00615EBB" w:rsidRPr="00845BC9" w:rsidRDefault="001E0A28" w:rsidP="001E0A28">
      <w:pPr>
        <w:spacing w:after="120"/>
        <w:ind w:left="1985" w:hanging="1985"/>
        <w:rPr>
          <w:rFonts w:ascii="Arial" w:eastAsiaTheme="minorEastAsia" w:hAnsi="Arial" w:cs="Arial"/>
          <w:b/>
          <w:sz w:val="24"/>
          <w:szCs w:val="24"/>
          <w:lang w:val="en-US" w:eastAsia="zh-CN"/>
        </w:rPr>
      </w:pPr>
      <w:r w:rsidRPr="00845BC9">
        <w:rPr>
          <w:rFonts w:ascii="Arial" w:eastAsiaTheme="minorEastAsia" w:hAnsi="Arial" w:cs="Arial"/>
          <w:b/>
          <w:sz w:val="24"/>
          <w:szCs w:val="24"/>
          <w:lang w:val="en-US" w:eastAsia="zh-CN"/>
        </w:rPr>
        <w:t xml:space="preserve">Electronic Meeting, </w:t>
      </w:r>
      <w:r w:rsidR="000D19DE" w:rsidRPr="00845BC9">
        <w:rPr>
          <w:rFonts w:ascii="Arial" w:hAnsi="Arial"/>
          <w:b/>
          <w:sz w:val="24"/>
          <w:szCs w:val="24"/>
          <w:lang w:val="en-US" w:eastAsia="zh-CN"/>
        </w:rPr>
        <w:t>1</w:t>
      </w:r>
      <w:r w:rsidR="00F95A7B" w:rsidRPr="00845BC9">
        <w:rPr>
          <w:rFonts w:ascii="Arial" w:hAnsi="Arial"/>
          <w:b/>
          <w:sz w:val="24"/>
          <w:szCs w:val="24"/>
          <w:lang w:val="en-US" w:eastAsia="zh-CN"/>
        </w:rPr>
        <w:t>5</w:t>
      </w:r>
      <w:r w:rsidR="00442337" w:rsidRPr="00845BC9">
        <w:rPr>
          <w:rFonts w:ascii="Arial" w:hAnsi="Arial"/>
          <w:b/>
          <w:sz w:val="24"/>
          <w:szCs w:val="24"/>
          <w:lang w:val="en-US" w:eastAsia="zh-CN"/>
        </w:rPr>
        <w:t xml:space="preserve"> – </w:t>
      </w:r>
      <w:r w:rsidR="001128E7" w:rsidRPr="00845BC9">
        <w:rPr>
          <w:rFonts w:ascii="Arial" w:hAnsi="Arial"/>
          <w:b/>
          <w:sz w:val="24"/>
          <w:szCs w:val="24"/>
          <w:lang w:val="en-US" w:eastAsia="zh-CN"/>
        </w:rPr>
        <w:t>2</w:t>
      </w:r>
      <w:r w:rsidR="00F95A7B" w:rsidRPr="00845BC9">
        <w:rPr>
          <w:rFonts w:ascii="Arial" w:hAnsi="Arial"/>
          <w:b/>
          <w:sz w:val="24"/>
          <w:szCs w:val="24"/>
          <w:lang w:val="en-US" w:eastAsia="zh-CN"/>
        </w:rPr>
        <w:t>6</w:t>
      </w:r>
      <w:r w:rsidR="00442337" w:rsidRPr="00845BC9">
        <w:rPr>
          <w:rFonts w:ascii="Arial" w:hAnsi="Arial"/>
          <w:b/>
          <w:sz w:val="24"/>
          <w:szCs w:val="24"/>
          <w:lang w:val="en-US" w:eastAsia="zh-CN"/>
        </w:rPr>
        <w:t xml:space="preserve"> </w:t>
      </w:r>
      <w:proofErr w:type="gramStart"/>
      <w:r w:rsidR="00F95A7B" w:rsidRPr="00845BC9">
        <w:rPr>
          <w:rFonts w:ascii="Arial" w:hAnsi="Arial"/>
          <w:b/>
          <w:sz w:val="24"/>
          <w:szCs w:val="24"/>
          <w:lang w:val="en-US" w:eastAsia="zh-CN"/>
        </w:rPr>
        <w:t>August</w:t>
      </w:r>
      <w:r w:rsidR="00442337" w:rsidRPr="00845BC9">
        <w:rPr>
          <w:rFonts w:ascii="Arial" w:hAnsi="Arial"/>
          <w:b/>
          <w:sz w:val="24"/>
          <w:szCs w:val="24"/>
          <w:lang w:val="en-US" w:eastAsia="zh-CN"/>
        </w:rPr>
        <w:t>,</w:t>
      </w:r>
      <w:proofErr w:type="gramEnd"/>
      <w:r w:rsidR="00442337" w:rsidRPr="00845BC9">
        <w:rPr>
          <w:rFonts w:ascii="Arial" w:hAnsi="Arial"/>
          <w:b/>
          <w:sz w:val="24"/>
          <w:szCs w:val="24"/>
          <w:lang w:val="en-US" w:eastAsia="zh-CN"/>
        </w:rPr>
        <w:t xml:space="preserve"> 202</w:t>
      </w:r>
      <w:r w:rsidR="000D19DE" w:rsidRPr="00845BC9">
        <w:rPr>
          <w:rFonts w:ascii="Arial" w:hAnsi="Arial"/>
          <w:b/>
          <w:sz w:val="24"/>
          <w:szCs w:val="24"/>
          <w:lang w:val="en-US" w:eastAsia="zh-CN"/>
        </w:rPr>
        <w:t>2</w:t>
      </w:r>
    </w:p>
    <w:p w14:paraId="55AD3D9D" w14:textId="77777777" w:rsidR="001E0A28" w:rsidRPr="00845BC9" w:rsidRDefault="001E0A28" w:rsidP="001E0A28">
      <w:pPr>
        <w:spacing w:after="120"/>
        <w:ind w:left="1985" w:hanging="1985"/>
        <w:rPr>
          <w:rFonts w:ascii="Arial" w:eastAsia="MS Mincho" w:hAnsi="Arial" w:cs="Arial"/>
          <w:b/>
          <w:sz w:val="22"/>
          <w:lang w:val="en-US"/>
        </w:rPr>
      </w:pPr>
    </w:p>
    <w:p w14:paraId="722193E9" w14:textId="2A500F64" w:rsidR="00C24D2F" w:rsidRPr="00845BC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45BC9">
        <w:rPr>
          <w:rFonts w:ascii="Arial" w:eastAsia="MS Mincho" w:hAnsi="Arial" w:cs="Arial"/>
          <w:b/>
          <w:color w:val="000000"/>
          <w:sz w:val="22"/>
          <w:lang w:val="en-US"/>
        </w:rPr>
        <w:t xml:space="preserve">Agenda </w:t>
      </w:r>
      <w:r w:rsidR="007D19B7" w:rsidRPr="00845BC9">
        <w:rPr>
          <w:rFonts w:ascii="Arial" w:eastAsia="MS Mincho" w:hAnsi="Arial" w:cs="Arial"/>
          <w:b/>
          <w:color w:val="000000"/>
          <w:sz w:val="22"/>
          <w:lang w:val="en-US"/>
        </w:rPr>
        <w:t>item</w:t>
      </w:r>
      <w:r w:rsidRPr="00845BC9">
        <w:rPr>
          <w:rFonts w:ascii="Arial" w:eastAsia="MS Mincho" w:hAnsi="Arial" w:cs="Arial"/>
          <w:b/>
          <w:color w:val="000000"/>
          <w:sz w:val="22"/>
          <w:lang w:val="en-US"/>
        </w:rPr>
        <w:t>:</w:t>
      </w:r>
      <w:r w:rsidRPr="00845BC9">
        <w:rPr>
          <w:rFonts w:ascii="Arial" w:eastAsia="MS Mincho" w:hAnsi="Arial" w:cs="Arial"/>
          <w:b/>
          <w:color w:val="000000"/>
          <w:sz w:val="22"/>
          <w:lang w:val="en-US"/>
        </w:rPr>
        <w:tab/>
      </w:r>
      <w:r w:rsidRPr="00845BC9">
        <w:rPr>
          <w:rFonts w:ascii="Arial" w:eastAsia="MS Mincho" w:hAnsi="Arial" w:cs="Arial"/>
          <w:b/>
          <w:color w:val="000000"/>
          <w:sz w:val="22"/>
          <w:lang w:val="en-US" w:eastAsia="ja-JP"/>
        </w:rPr>
        <w:tab/>
      </w:r>
      <w:r w:rsidRPr="00845BC9">
        <w:rPr>
          <w:rFonts w:ascii="Arial" w:eastAsia="MS Mincho" w:hAnsi="Arial" w:cs="Arial"/>
          <w:b/>
          <w:color w:val="000000"/>
          <w:sz w:val="22"/>
          <w:lang w:val="en-US" w:eastAsia="ja-JP"/>
        </w:rPr>
        <w:tab/>
      </w:r>
      <w:r w:rsidR="00693FE8" w:rsidRPr="00845BC9">
        <w:rPr>
          <w:rFonts w:ascii="Arial" w:eastAsiaTheme="minorEastAsia" w:hAnsi="Arial" w:cs="Arial"/>
          <w:color w:val="000000"/>
          <w:sz w:val="22"/>
          <w:lang w:val="en-US" w:eastAsia="zh-CN"/>
        </w:rPr>
        <w:t>9</w:t>
      </w:r>
      <w:r w:rsidR="0095606C" w:rsidRPr="00845BC9">
        <w:rPr>
          <w:rFonts w:ascii="Arial" w:eastAsiaTheme="minorEastAsia" w:hAnsi="Arial" w:cs="Arial"/>
          <w:color w:val="000000"/>
          <w:sz w:val="22"/>
          <w:lang w:val="en-US" w:eastAsia="zh-CN"/>
        </w:rPr>
        <w:t>.19.1.1</w:t>
      </w:r>
    </w:p>
    <w:p w14:paraId="0D3456B8" w14:textId="77777777" w:rsidR="00915D73" w:rsidRPr="00845BC9" w:rsidRDefault="00915D73" w:rsidP="00915D73">
      <w:pPr>
        <w:spacing w:after="120"/>
        <w:ind w:left="1985" w:hanging="1985"/>
        <w:rPr>
          <w:rFonts w:ascii="Arial" w:hAnsi="Arial" w:cs="Arial"/>
          <w:color w:val="000000"/>
          <w:sz w:val="22"/>
          <w:lang w:val="en-US" w:eastAsia="zh-CN"/>
        </w:rPr>
      </w:pPr>
      <w:r w:rsidRPr="00845BC9">
        <w:rPr>
          <w:rFonts w:ascii="Arial" w:eastAsia="MS Mincho" w:hAnsi="Arial" w:cs="Arial"/>
          <w:b/>
          <w:sz w:val="22"/>
          <w:lang w:val="en-US"/>
        </w:rPr>
        <w:t>Source:</w:t>
      </w:r>
      <w:r w:rsidRPr="00845BC9">
        <w:rPr>
          <w:rFonts w:ascii="Arial" w:eastAsia="MS Mincho" w:hAnsi="Arial" w:cs="Arial"/>
          <w:b/>
          <w:sz w:val="22"/>
          <w:lang w:val="en-US"/>
        </w:rPr>
        <w:tab/>
      </w:r>
      <w:r w:rsidR="003F512B" w:rsidRPr="00845BC9">
        <w:rPr>
          <w:rFonts w:ascii="Arial" w:hAnsi="Arial" w:cs="Arial"/>
          <w:color w:val="000000"/>
          <w:sz w:val="22"/>
          <w:lang w:val="en-US" w:eastAsia="zh-CN"/>
        </w:rPr>
        <w:t>Ericsson</w:t>
      </w:r>
    </w:p>
    <w:p w14:paraId="2BEF9B19" w14:textId="65E5AD3A" w:rsidR="00915D73" w:rsidRPr="00845BC9" w:rsidRDefault="00915D73" w:rsidP="5E49F90C">
      <w:pPr>
        <w:spacing w:after="120"/>
        <w:ind w:left="1985" w:hanging="1985"/>
        <w:rPr>
          <w:rFonts w:ascii="Arial" w:eastAsiaTheme="minorEastAsia" w:hAnsi="Arial" w:cs="Arial"/>
          <w:color w:val="000000"/>
          <w:sz w:val="22"/>
          <w:szCs w:val="22"/>
          <w:lang w:val="en-US" w:eastAsia="zh-CN"/>
        </w:rPr>
      </w:pPr>
      <w:r w:rsidRPr="00845BC9">
        <w:rPr>
          <w:rFonts w:ascii="Arial" w:eastAsia="MS Mincho" w:hAnsi="Arial" w:cs="Arial"/>
          <w:b/>
          <w:bCs/>
          <w:color w:val="000000" w:themeColor="text1"/>
          <w:sz w:val="22"/>
          <w:szCs w:val="22"/>
          <w:lang w:val="en-US"/>
        </w:rPr>
        <w:t>Title:</w:t>
      </w:r>
      <w:r w:rsidRPr="00845BC9">
        <w:rPr>
          <w:lang w:val="en-US"/>
        </w:rPr>
        <w:tab/>
      </w:r>
      <w:r w:rsidR="00C471D4" w:rsidRPr="00845BC9">
        <w:rPr>
          <w:rFonts w:ascii="Arial" w:eastAsia="MS Mincho" w:hAnsi="Arial" w:cs="Arial"/>
          <w:color w:val="000000" w:themeColor="text1"/>
          <w:sz w:val="22"/>
          <w:szCs w:val="22"/>
          <w:lang w:val="en-US"/>
        </w:rPr>
        <w:t>Applicability of Rx/RxTx TEG</w:t>
      </w:r>
      <w:r w:rsidR="00422E99" w:rsidRPr="00845BC9">
        <w:rPr>
          <w:rFonts w:ascii="Arial" w:eastAsia="MS Mincho" w:hAnsi="Arial" w:cs="Arial"/>
          <w:color w:val="000000" w:themeColor="text1"/>
          <w:sz w:val="22"/>
          <w:szCs w:val="22"/>
          <w:lang w:val="en-US"/>
        </w:rPr>
        <w:t xml:space="preserve"> (core part)</w:t>
      </w:r>
    </w:p>
    <w:p w14:paraId="221DE826" w14:textId="77777777" w:rsidR="00915D73" w:rsidRPr="00845BC9" w:rsidRDefault="00915D73" w:rsidP="00915D73">
      <w:pPr>
        <w:spacing w:after="120"/>
        <w:ind w:left="1985" w:hanging="1985"/>
        <w:rPr>
          <w:rFonts w:ascii="Arial" w:eastAsiaTheme="minorEastAsia" w:hAnsi="Arial" w:cs="Arial"/>
          <w:sz w:val="22"/>
          <w:lang w:val="en-US" w:eastAsia="zh-CN"/>
        </w:rPr>
      </w:pPr>
      <w:r w:rsidRPr="00845BC9">
        <w:rPr>
          <w:rFonts w:ascii="Arial" w:eastAsia="MS Mincho" w:hAnsi="Arial" w:cs="Arial"/>
          <w:b/>
          <w:color w:val="000000"/>
          <w:sz w:val="22"/>
          <w:lang w:val="en-US"/>
        </w:rPr>
        <w:t>Document for:</w:t>
      </w:r>
      <w:r w:rsidRPr="00845BC9">
        <w:rPr>
          <w:rFonts w:ascii="Arial" w:eastAsia="MS Mincho" w:hAnsi="Arial" w:cs="Arial"/>
          <w:b/>
          <w:color w:val="000000"/>
          <w:sz w:val="22"/>
          <w:lang w:val="en-US"/>
        </w:rPr>
        <w:tab/>
      </w:r>
      <w:r w:rsidR="003F512B" w:rsidRPr="00845BC9">
        <w:rPr>
          <w:rFonts w:ascii="Arial" w:eastAsiaTheme="minorEastAsia" w:hAnsi="Arial" w:cs="Arial"/>
          <w:color w:val="000000"/>
          <w:sz w:val="22"/>
          <w:lang w:val="en-US" w:eastAsia="zh-CN"/>
        </w:rPr>
        <w:t>Discussion</w:t>
      </w:r>
    </w:p>
    <w:p w14:paraId="705FBA04" w14:textId="127A0981" w:rsidR="00AE7BAF" w:rsidRPr="00845BC9" w:rsidRDefault="00915D73" w:rsidP="00635192">
      <w:pPr>
        <w:pStyle w:val="Heading1"/>
        <w:rPr>
          <w:lang w:val="en-US"/>
        </w:rPr>
      </w:pPr>
      <w:r w:rsidRPr="00845BC9">
        <w:rPr>
          <w:lang w:val="en-US"/>
        </w:rPr>
        <w:t>Introduction</w:t>
      </w:r>
    </w:p>
    <w:p w14:paraId="6ECB60E5" w14:textId="42DAC4A4" w:rsidR="009B6531" w:rsidRPr="00845BC9" w:rsidRDefault="009B6531" w:rsidP="00794AFE">
      <w:pPr>
        <w:jc w:val="both"/>
        <w:rPr>
          <w:lang w:val="en-US"/>
        </w:rPr>
      </w:pPr>
      <w:r w:rsidRPr="00845BC9">
        <w:rPr>
          <w:lang w:val="en-US"/>
        </w:rPr>
        <w:t>In this contribution applicability of Rx/RxTx TEG is discussed. The discussion is based on the agreement on Rx/RxTx TEG framework agreed in RAN4 and applicability of Rx/RxTx TEG agreed in RAN1.</w:t>
      </w:r>
      <w:r w:rsidR="0070043F" w:rsidRPr="00845BC9">
        <w:rPr>
          <w:lang w:val="en-US"/>
        </w:rPr>
        <w:t xml:space="preserve"> In </w:t>
      </w:r>
      <w:proofErr w:type="gramStart"/>
      <w:r w:rsidR="0070043F" w:rsidRPr="00845BC9">
        <w:rPr>
          <w:lang w:val="en-US"/>
        </w:rPr>
        <w:t>addition</w:t>
      </w:r>
      <w:proofErr w:type="gramEnd"/>
      <w:r w:rsidR="0070043F" w:rsidRPr="00845BC9">
        <w:rPr>
          <w:lang w:val="en-US"/>
        </w:rPr>
        <w:t xml:space="preserve"> issue related to UE Rx/RxTx TEG margin reporting raised by RAN1 in R1-2205382 reply LS on the UE/TRP TEG framework has been addressed.</w:t>
      </w:r>
    </w:p>
    <w:p w14:paraId="4870986A" w14:textId="365169D7" w:rsidR="002948B1" w:rsidRPr="00845BC9" w:rsidRDefault="002948B1" w:rsidP="002948B1">
      <w:pPr>
        <w:pStyle w:val="Heading1"/>
        <w:rPr>
          <w:lang w:val="en-US"/>
        </w:rPr>
      </w:pPr>
      <w:r w:rsidRPr="00845BC9">
        <w:rPr>
          <w:lang w:val="en-US"/>
        </w:rPr>
        <w:t>Discussion</w:t>
      </w:r>
    </w:p>
    <w:p w14:paraId="441043E3" w14:textId="509806F0" w:rsidR="0070043F" w:rsidRPr="00845BC9" w:rsidRDefault="0070043F" w:rsidP="0070043F">
      <w:pPr>
        <w:pStyle w:val="Heading2"/>
        <w:rPr>
          <w:lang w:val="en-US"/>
        </w:rPr>
      </w:pPr>
      <w:r w:rsidRPr="00845BC9">
        <w:rPr>
          <w:lang w:val="en-US"/>
        </w:rPr>
        <w:t>Applicability of Rx/RxTx TEG</w:t>
      </w:r>
    </w:p>
    <w:p w14:paraId="6C5639A4" w14:textId="5DB6ACCE" w:rsidR="009B6531" w:rsidRPr="00845BC9" w:rsidRDefault="009B6531" w:rsidP="009B6531">
      <w:pPr>
        <w:rPr>
          <w:lang w:val="en-US"/>
        </w:rPr>
      </w:pPr>
      <w:r w:rsidRPr="00845BC9">
        <w:rPr>
          <w:lang w:val="en-US"/>
        </w:rPr>
        <w:t>RAN4#102-e agreed on the following Rx TEG framework</w:t>
      </w:r>
      <w:r w:rsidR="00D0399E" w:rsidRPr="00845BC9">
        <w:rPr>
          <w:lang w:val="en-US"/>
        </w:rPr>
        <w:t xml:space="preserve"> [</w:t>
      </w:r>
      <w:r w:rsidR="002C3AA6" w:rsidRPr="00845BC9">
        <w:rPr>
          <w:lang w:val="en-US"/>
        </w:rPr>
        <w:t>1</w:t>
      </w:r>
      <w:r w:rsidR="00D0399E" w:rsidRPr="00845BC9">
        <w:rPr>
          <w:lang w:val="en-US"/>
        </w:rPr>
        <w:t>]</w:t>
      </w:r>
      <w:r w:rsidRPr="00845BC9">
        <w:rPr>
          <w:lang w:val="en-US"/>
        </w:rPr>
        <w:t>:</w:t>
      </w:r>
    </w:p>
    <w:p w14:paraId="420C3151" w14:textId="4D3B7DDA" w:rsidR="009B6531" w:rsidRPr="00845BC9" w:rsidRDefault="00EF6A4D" w:rsidP="009B6531">
      <w:pPr>
        <w:rPr>
          <w:b/>
          <w:bCs/>
          <w:u w:val="single"/>
          <w:lang w:val="en-US"/>
        </w:rPr>
      </w:pPr>
      <w:r w:rsidRPr="00845BC9">
        <w:rPr>
          <w:b/>
          <w:bCs/>
          <w:u w:val="single"/>
          <w:lang w:val="en-US"/>
        </w:rPr>
        <w:t>F</w:t>
      </w:r>
      <w:r w:rsidR="009B6531" w:rsidRPr="00845BC9">
        <w:rPr>
          <w:b/>
          <w:bCs/>
          <w:u w:val="single"/>
          <w:lang w:val="en-US"/>
        </w:rPr>
        <w:t>ramework of UE/TRP Rx TEG</w:t>
      </w:r>
    </w:p>
    <w:p w14:paraId="68CCB91B" w14:textId="77777777" w:rsidR="009B6531" w:rsidRPr="00845BC9" w:rsidRDefault="009B6531" w:rsidP="009B6531">
      <w:pPr>
        <w:rPr>
          <w:rFonts w:eastAsiaTheme="minorEastAsia"/>
          <w:i/>
          <w:lang w:val="en-US" w:eastAsia="zh-CN"/>
        </w:rPr>
      </w:pPr>
      <w:r w:rsidRPr="00845BC9">
        <w:rPr>
          <w:rFonts w:eastAsiaTheme="minorEastAsia"/>
          <w:i/>
          <w:u w:val="single"/>
          <w:lang w:val="en-US" w:eastAsia="zh-CN"/>
        </w:rPr>
        <w:t>Agreements</w:t>
      </w:r>
      <w:r w:rsidRPr="00845BC9">
        <w:rPr>
          <w:rFonts w:eastAsiaTheme="minorEastAsia"/>
          <w:i/>
          <w:lang w:val="en-US" w:eastAsia="zh-CN"/>
        </w:rPr>
        <w:t>:</w:t>
      </w:r>
    </w:p>
    <w:p w14:paraId="10E621FE" w14:textId="77777777" w:rsidR="009B6531" w:rsidRPr="00845BC9" w:rsidRDefault="009B6531" w:rsidP="009B6531">
      <w:pPr>
        <w:pStyle w:val="ListParagraph"/>
        <w:numPr>
          <w:ilvl w:val="0"/>
          <w:numId w:val="4"/>
        </w:numPr>
        <w:overflowPunct/>
        <w:autoSpaceDE/>
        <w:adjustRightInd/>
        <w:spacing w:after="120"/>
        <w:ind w:firstLineChars="0"/>
        <w:textAlignment w:val="auto"/>
        <w:rPr>
          <w:i/>
          <w:iCs/>
          <w:lang w:val="en-US"/>
        </w:rPr>
      </w:pPr>
      <w:r w:rsidRPr="00845BC9">
        <w:rPr>
          <w:i/>
          <w:iCs/>
          <w:lang w:val="en-US"/>
        </w:rPr>
        <w:t>The framework of UE/TRP Rx TEG</w:t>
      </w:r>
    </w:p>
    <w:p w14:paraId="67B2D74D" w14:textId="77777777" w:rsidR="009B6531" w:rsidRPr="00845BC9" w:rsidRDefault="009B6531" w:rsidP="009B6531">
      <w:pPr>
        <w:pStyle w:val="ListParagraph"/>
        <w:numPr>
          <w:ilvl w:val="1"/>
          <w:numId w:val="4"/>
        </w:numPr>
        <w:overflowPunct/>
        <w:autoSpaceDE/>
        <w:adjustRightInd/>
        <w:spacing w:after="120"/>
        <w:ind w:firstLineChars="0"/>
        <w:textAlignment w:val="auto"/>
        <w:rPr>
          <w:i/>
          <w:iCs/>
          <w:lang w:val="en-US"/>
        </w:rPr>
      </w:pPr>
      <w:r w:rsidRPr="00845BC9">
        <w:rPr>
          <w:i/>
          <w:iCs/>
          <w:lang w:val="en-US"/>
        </w:rPr>
        <w:t>Define multiple candidate timing error margin values {TE</w:t>
      </w:r>
      <w:r w:rsidRPr="00845BC9">
        <w:rPr>
          <w:i/>
          <w:iCs/>
          <w:vertAlign w:val="subscript"/>
          <w:lang w:val="en-US"/>
        </w:rPr>
        <w:t>1</w:t>
      </w:r>
      <w:r w:rsidRPr="00845BC9">
        <w:rPr>
          <w:i/>
          <w:iCs/>
          <w:lang w:val="en-US"/>
        </w:rPr>
        <w:t>, TE</w:t>
      </w:r>
      <w:r w:rsidRPr="00845BC9">
        <w:rPr>
          <w:i/>
          <w:iCs/>
          <w:vertAlign w:val="subscript"/>
          <w:lang w:val="en-US"/>
        </w:rPr>
        <w:t>2</w:t>
      </w:r>
      <w:r w:rsidRPr="00845BC9">
        <w:rPr>
          <w:i/>
          <w:iCs/>
          <w:lang w:val="en-US"/>
        </w:rPr>
        <w:t>, …, TE</w:t>
      </w:r>
      <w:r w:rsidRPr="00845BC9">
        <w:rPr>
          <w:i/>
          <w:iCs/>
          <w:vertAlign w:val="subscript"/>
          <w:lang w:val="en-US"/>
        </w:rPr>
        <w:t>N</w:t>
      </w:r>
      <w:r w:rsidRPr="00845BC9">
        <w:rPr>
          <w:i/>
          <w:iCs/>
          <w:lang w:val="en-US"/>
        </w:rPr>
        <w:t xml:space="preserve">} in the spec. </w:t>
      </w:r>
    </w:p>
    <w:p w14:paraId="52FA907E" w14:textId="77777777" w:rsidR="009B6531" w:rsidRPr="00845BC9" w:rsidRDefault="009B6531" w:rsidP="009B6531">
      <w:pPr>
        <w:pStyle w:val="ListParagraph"/>
        <w:numPr>
          <w:ilvl w:val="2"/>
          <w:numId w:val="4"/>
        </w:numPr>
        <w:overflowPunct/>
        <w:autoSpaceDE/>
        <w:adjustRightInd/>
        <w:spacing w:after="120"/>
        <w:ind w:firstLineChars="0"/>
        <w:textAlignment w:val="auto"/>
        <w:rPr>
          <w:i/>
          <w:iCs/>
          <w:lang w:val="en-US"/>
        </w:rPr>
      </w:pPr>
      <w:r w:rsidRPr="00845BC9">
        <w:rPr>
          <w:i/>
          <w:iCs/>
          <w:lang w:val="en-US"/>
        </w:rPr>
        <w:t>The number of candidate values (</w:t>
      </w:r>
      <w:proofErr w:type="gramStart"/>
      <w:r w:rsidRPr="00845BC9">
        <w:rPr>
          <w:i/>
          <w:iCs/>
          <w:lang w:val="en-US"/>
        </w:rPr>
        <w:t>i.e.</w:t>
      </w:r>
      <w:proofErr w:type="gramEnd"/>
      <w:r w:rsidRPr="00845BC9">
        <w:rPr>
          <w:i/>
          <w:iCs/>
          <w:lang w:val="en-US"/>
        </w:rPr>
        <w:t xml:space="preserve"> N) and the exact values of {TE</w:t>
      </w:r>
      <w:r w:rsidRPr="00845BC9">
        <w:rPr>
          <w:i/>
          <w:iCs/>
          <w:vertAlign w:val="subscript"/>
          <w:lang w:val="en-US"/>
        </w:rPr>
        <w:t>1</w:t>
      </w:r>
      <w:r w:rsidRPr="00845BC9">
        <w:rPr>
          <w:i/>
          <w:iCs/>
          <w:lang w:val="en-US"/>
        </w:rPr>
        <w:t>, TE</w:t>
      </w:r>
      <w:r w:rsidRPr="00845BC9">
        <w:rPr>
          <w:i/>
          <w:iCs/>
          <w:vertAlign w:val="subscript"/>
          <w:lang w:val="en-US"/>
        </w:rPr>
        <w:t>2</w:t>
      </w:r>
      <w:r w:rsidRPr="00845BC9">
        <w:rPr>
          <w:i/>
          <w:iCs/>
          <w:lang w:val="en-US"/>
        </w:rPr>
        <w:t>, …, TE</w:t>
      </w:r>
      <w:r w:rsidRPr="00845BC9">
        <w:rPr>
          <w:i/>
          <w:iCs/>
          <w:vertAlign w:val="subscript"/>
          <w:lang w:val="en-US"/>
        </w:rPr>
        <w:t>N</w:t>
      </w:r>
      <w:r w:rsidRPr="00845BC9">
        <w:rPr>
          <w:i/>
          <w:iCs/>
          <w:lang w:val="en-US"/>
        </w:rPr>
        <w:t xml:space="preserve">} will be decided in Perf part. </w:t>
      </w:r>
    </w:p>
    <w:p w14:paraId="718624B6" w14:textId="77777777" w:rsidR="009B6531" w:rsidRPr="00845BC9" w:rsidRDefault="009B6531" w:rsidP="009B6531">
      <w:pPr>
        <w:pStyle w:val="ListParagraph"/>
        <w:numPr>
          <w:ilvl w:val="1"/>
          <w:numId w:val="4"/>
        </w:numPr>
        <w:overflowPunct/>
        <w:autoSpaceDE/>
        <w:adjustRightInd/>
        <w:spacing w:after="120"/>
        <w:ind w:firstLineChars="0"/>
        <w:textAlignment w:val="auto"/>
        <w:rPr>
          <w:i/>
          <w:iCs/>
          <w:lang w:val="en-US"/>
        </w:rPr>
      </w:pPr>
      <w:r w:rsidRPr="00845BC9">
        <w:rPr>
          <w:i/>
          <w:iCs/>
          <w:lang w:val="en-US"/>
        </w:rPr>
        <w:t>UE/TRP selects one value M from {TE</w:t>
      </w:r>
      <w:r w:rsidRPr="00845BC9">
        <w:rPr>
          <w:i/>
          <w:iCs/>
          <w:vertAlign w:val="subscript"/>
          <w:lang w:val="en-US"/>
        </w:rPr>
        <w:t>1</w:t>
      </w:r>
      <w:r w:rsidRPr="00845BC9">
        <w:rPr>
          <w:i/>
          <w:iCs/>
          <w:lang w:val="en-US"/>
        </w:rPr>
        <w:t>, TE</w:t>
      </w:r>
      <w:r w:rsidRPr="00845BC9">
        <w:rPr>
          <w:i/>
          <w:iCs/>
          <w:vertAlign w:val="subscript"/>
          <w:lang w:val="en-US"/>
        </w:rPr>
        <w:t>2</w:t>
      </w:r>
      <w:r w:rsidRPr="00845BC9">
        <w:rPr>
          <w:i/>
          <w:iCs/>
          <w:lang w:val="en-US"/>
        </w:rPr>
        <w:t>, …, TE</w:t>
      </w:r>
      <w:r w:rsidRPr="00845BC9">
        <w:rPr>
          <w:i/>
          <w:iCs/>
          <w:vertAlign w:val="subscript"/>
          <w:lang w:val="en-US"/>
        </w:rPr>
        <w:t>N</w:t>
      </w:r>
      <w:r w:rsidRPr="00845BC9">
        <w:rPr>
          <w:i/>
          <w:iCs/>
          <w:lang w:val="en-US"/>
        </w:rPr>
        <w:t xml:space="preserve">} based on its implementation and indicate to LMF. </w:t>
      </w:r>
    </w:p>
    <w:p w14:paraId="423B4C62" w14:textId="77777777" w:rsidR="009B6531" w:rsidRPr="00845BC9" w:rsidRDefault="009B6531" w:rsidP="009B6531">
      <w:pPr>
        <w:pStyle w:val="ListParagraph"/>
        <w:numPr>
          <w:ilvl w:val="1"/>
          <w:numId w:val="4"/>
        </w:numPr>
        <w:overflowPunct/>
        <w:autoSpaceDE/>
        <w:autoSpaceDN/>
        <w:adjustRightInd/>
        <w:spacing w:after="120"/>
        <w:ind w:firstLineChars="0"/>
        <w:textAlignment w:val="auto"/>
        <w:rPr>
          <w:i/>
          <w:iCs/>
          <w:lang w:val="en-US"/>
        </w:rPr>
      </w:pPr>
      <w:r w:rsidRPr="00845BC9">
        <w:rPr>
          <w:i/>
          <w:iCs/>
          <w:lang w:val="en-US"/>
        </w:rPr>
        <w:t xml:space="preserve">For UE that supports multiple Rx TEGs (TEG#1, TEG#2, …), the associated timing error margin value of each Rx TEG is M, which means the timing error difference between the measurements within the same Rx TEG is within the margin M. </w:t>
      </w:r>
    </w:p>
    <w:p w14:paraId="77EE2596" w14:textId="77777777" w:rsidR="009B6531" w:rsidRPr="00845BC9" w:rsidRDefault="009B6531" w:rsidP="009B6531">
      <w:pPr>
        <w:pStyle w:val="ListParagraph"/>
        <w:numPr>
          <w:ilvl w:val="1"/>
          <w:numId w:val="4"/>
        </w:numPr>
        <w:overflowPunct/>
        <w:autoSpaceDE/>
        <w:adjustRightInd/>
        <w:spacing w:after="120"/>
        <w:ind w:firstLineChars="0"/>
        <w:textAlignment w:val="auto"/>
        <w:rPr>
          <w:i/>
          <w:iCs/>
          <w:lang w:val="en-US"/>
        </w:rPr>
      </w:pPr>
      <w:r w:rsidRPr="00845BC9">
        <w:rPr>
          <w:i/>
          <w:iCs/>
          <w:lang w:val="en-US"/>
        </w:rPr>
        <w:t>The applicability of reported UE Rx TEG is limited to the measurements contained within the measurement report in which the Rx TEG information is provided, and only to measurements that are tagged with the corresponding TEG ID.</w:t>
      </w:r>
    </w:p>
    <w:p w14:paraId="0624F178" w14:textId="77777777" w:rsidR="009B6531" w:rsidRPr="00845BC9" w:rsidRDefault="009B6531" w:rsidP="009B6531">
      <w:pPr>
        <w:pStyle w:val="ListParagraph"/>
        <w:numPr>
          <w:ilvl w:val="1"/>
          <w:numId w:val="4"/>
        </w:numPr>
        <w:overflowPunct/>
        <w:autoSpaceDE/>
        <w:adjustRightInd/>
        <w:spacing w:after="120"/>
        <w:ind w:firstLineChars="0"/>
        <w:textAlignment w:val="auto"/>
        <w:rPr>
          <w:i/>
          <w:iCs/>
          <w:lang w:val="en-US"/>
        </w:rPr>
      </w:pPr>
      <w:r w:rsidRPr="00845BC9">
        <w:rPr>
          <w:i/>
          <w:iCs/>
          <w:lang w:val="en-US"/>
        </w:rPr>
        <w:t>The RRM accuracy requirements corresponding to the candidate timing error margin values {TE</w:t>
      </w:r>
      <w:r w:rsidRPr="00845BC9">
        <w:rPr>
          <w:i/>
          <w:iCs/>
          <w:vertAlign w:val="subscript"/>
          <w:lang w:val="en-US"/>
        </w:rPr>
        <w:t>1</w:t>
      </w:r>
      <w:r w:rsidRPr="00845BC9">
        <w:rPr>
          <w:i/>
          <w:iCs/>
          <w:lang w:val="en-US"/>
        </w:rPr>
        <w:t>, TE</w:t>
      </w:r>
      <w:r w:rsidRPr="00845BC9">
        <w:rPr>
          <w:i/>
          <w:iCs/>
          <w:vertAlign w:val="subscript"/>
          <w:lang w:val="en-US"/>
        </w:rPr>
        <w:t>2</w:t>
      </w:r>
      <w:r w:rsidRPr="00845BC9">
        <w:rPr>
          <w:i/>
          <w:iCs/>
          <w:lang w:val="en-US"/>
        </w:rPr>
        <w:t>, …, TE</w:t>
      </w:r>
      <w:r w:rsidRPr="00845BC9">
        <w:rPr>
          <w:i/>
          <w:iCs/>
          <w:vertAlign w:val="subscript"/>
          <w:lang w:val="en-US"/>
        </w:rPr>
        <w:t>N</w:t>
      </w:r>
      <w:r w:rsidRPr="00845BC9">
        <w:rPr>
          <w:i/>
          <w:iCs/>
          <w:lang w:val="en-US"/>
        </w:rPr>
        <w:t xml:space="preserve">} will be defined in Perf part. </w:t>
      </w:r>
    </w:p>
    <w:p w14:paraId="4B1DB5A2" w14:textId="77777777" w:rsidR="009B6531" w:rsidRPr="00845BC9" w:rsidRDefault="009B6531" w:rsidP="00FB2787">
      <w:pPr>
        <w:pStyle w:val="ListParagraph"/>
        <w:numPr>
          <w:ilvl w:val="0"/>
          <w:numId w:val="4"/>
        </w:numPr>
        <w:overflowPunct/>
        <w:autoSpaceDE/>
        <w:adjustRightInd/>
        <w:spacing w:after="120"/>
        <w:ind w:firstLineChars="0"/>
        <w:textAlignment w:val="auto"/>
        <w:rPr>
          <w:i/>
          <w:iCs/>
          <w:lang w:val="en-US"/>
        </w:rPr>
      </w:pPr>
      <w:r w:rsidRPr="00845BC9">
        <w:rPr>
          <w:i/>
          <w:iCs/>
          <w:lang w:val="en-US"/>
        </w:rPr>
        <w:t>The framework of UE/TRP Rx TEG can be also applied for UE/TRP RxTx TEG.</w:t>
      </w:r>
    </w:p>
    <w:p w14:paraId="073A2ED9" w14:textId="6F8E8701" w:rsidR="009B6531" w:rsidRPr="00845BC9" w:rsidRDefault="009B6531" w:rsidP="009B6531">
      <w:pPr>
        <w:pStyle w:val="ListParagraph"/>
        <w:numPr>
          <w:ilvl w:val="1"/>
          <w:numId w:val="4"/>
        </w:numPr>
        <w:overflowPunct/>
        <w:autoSpaceDE/>
        <w:adjustRightInd/>
        <w:spacing w:after="120"/>
        <w:ind w:firstLineChars="0"/>
        <w:textAlignment w:val="auto"/>
        <w:rPr>
          <w:lang w:val="en-US"/>
        </w:rPr>
      </w:pPr>
      <w:r w:rsidRPr="00845BC9">
        <w:rPr>
          <w:i/>
          <w:iCs/>
          <w:lang w:val="en-US"/>
        </w:rPr>
        <w:t>Note: if additional issues are identified based on RAN1/2 progress, then this agreement can be revised.</w:t>
      </w:r>
    </w:p>
    <w:p w14:paraId="400A16E3" w14:textId="3F89F094" w:rsidR="009B6531" w:rsidRPr="00845BC9" w:rsidRDefault="009B6531" w:rsidP="00794AFE">
      <w:pPr>
        <w:spacing w:after="120"/>
        <w:jc w:val="both"/>
        <w:rPr>
          <w:lang w:val="en-US"/>
        </w:rPr>
      </w:pPr>
      <w:r w:rsidRPr="00845BC9">
        <w:rPr>
          <w:lang w:val="en-US"/>
        </w:rPr>
        <w:t xml:space="preserve">Based on the agreement the applicability of reported UE Rx TEG is limited to the measurements contained </w:t>
      </w:r>
      <w:r w:rsidRPr="00845BC9">
        <w:rPr>
          <w:u w:val="single"/>
          <w:lang w:val="en-US"/>
        </w:rPr>
        <w:t>within the measurement report</w:t>
      </w:r>
      <w:r w:rsidRPr="00845BC9">
        <w:rPr>
          <w:lang w:val="en-US"/>
        </w:rPr>
        <w:t xml:space="preserve"> in which the Rx TEG information is provided. The agreement further mandates that the UE reported TEG applies only to the measurements that are tagged with the corresponding TEG ID.</w:t>
      </w:r>
      <w:r w:rsidR="00301262" w:rsidRPr="00845BC9">
        <w:rPr>
          <w:lang w:val="en-US"/>
        </w:rPr>
        <w:t xml:space="preserve"> It was also agreed to revise the agreement based on the issues identified based on RAN1/2 progress.</w:t>
      </w:r>
    </w:p>
    <w:p w14:paraId="49DE1A0A" w14:textId="4F8DCC57" w:rsidR="009B6531" w:rsidRPr="00845BC9" w:rsidRDefault="009B6531" w:rsidP="00794AFE">
      <w:pPr>
        <w:spacing w:after="120"/>
        <w:jc w:val="both"/>
        <w:rPr>
          <w:lang w:val="en-US"/>
        </w:rPr>
      </w:pPr>
      <w:r w:rsidRPr="00845BC9">
        <w:rPr>
          <w:lang w:val="en-US"/>
        </w:rPr>
        <w:t>RAN1#109-e agreed on the reply LS on the UE/TRP TEG framework</w:t>
      </w:r>
      <w:r w:rsidR="00D0399E" w:rsidRPr="00845BC9">
        <w:rPr>
          <w:lang w:val="en-US"/>
        </w:rPr>
        <w:t xml:space="preserve"> [</w:t>
      </w:r>
      <w:r w:rsidR="002C3AA6" w:rsidRPr="00845BC9">
        <w:rPr>
          <w:lang w:val="en-US"/>
        </w:rPr>
        <w:t>2</w:t>
      </w:r>
      <w:r w:rsidR="00D0399E" w:rsidRPr="00845BC9">
        <w:rPr>
          <w:lang w:val="en-US"/>
        </w:rPr>
        <w:t>]</w:t>
      </w:r>
      <w:r w:rsidRPr="00845BC9">
        <w:rPr>
          <w:lang w:val="en-US"/>
        </w:rPr>
        <w:t>.</w:t>
      </w:r>
      <w:r w:rsidR="009C1A17" w:rsidRPr="00845BC9">
        <w:rPr>
          <w:lang w:val="en-US"/>
        </w:rPr>
        <w:t xml:space="preserve"> Issue #2 in the reply LS is relevant to the applicability of the reported Rx/RxTx TEG that specifies the RAN1 agreement on the issue. Based on RAN1 agreement, </w:t>
      </w:r>
      <w:r w:rsidR="00301262" w:rsidRPr="00845BC9">
        <w:rPr>
          <w:lang w:val="en-US"/>
        </w:rPr>
        <w:t xml:space="preserve">when the TEG feature is combined with the reporting of multiple measurement instances, the applicability of a reported </w:t>
      </w:r>
      <w:r w:rsidR="00301262" w:rsidRPr="00845BC9">
        <w:rPr>
          <w:lang w:val="en-US"/>
        </w:rPr>
        <w:lastRenderedPageBreak/>
        <w:t xml:space="preserve">Rx/RxTx TEG is limited to the measurements contained </w:t>
      </w:r>
      <w:r w:rsidR="00301262" w:rsidRPr="00845BC9">
        <w:rPr>
          <w:u w:val="single"/>
          <w:lang w:val="en-US"/>
        </w:rPr>
        <w:t>within the</w:t>
      </w:r>
      <w:r w:rsidR="00301262" w:rsidRPr="00845BC9">
        <w:rPr>
          <w:lang w:val="en-US"/>
        </w:rPr>
        <w:t xml:space="preserve"> </w:t>
      </w:r>
      <w:r w:rsidR="00301262" w:rsidRPr="00845BC9">
        <w:rPr>
          <w:u w:val="single"/>
          <w:lang w:val="en-US"/>
        </w:rPr>
        <w:t>single measurement instance</w:t>
      </w:r>
      <w:r w:rsidR="00301262" w:rsidRPr="00845BC9">
        <w:rPr>
          <w:lang w:val="en-US"/>
        </w:rPr>
        <w:t xml:space="preserve"> of a measurement report in which the RX/RxTx TEG information is provided, and only to measurements that are tagged with the corresponding Rx/RxTx TEG ID</w:t>
      </w:r>
      <w:r w:rsidR="002C3AA6" w:rsidRPr="00845BC9">
        <w:rPr>
          <w:lang w:val="en-US"/>
        </w:rPr>
        <w:t xml:space="preserve"> [3]</w:t>
      </w:r>
      <w:r w:rsidR="00301262" w:rsidRPr="00845BC9">
        <w:rPr>
          <w:lang w:val="en-US"/>
        </w:rPr>
        <w:t>.</w:t>
      </w:r>
    </w:p>
    <w:p w14:paraId="252399B9" w14:textId="06C2DEEA" w:rsidR="00301262" w:rsidRPr="00845BC9" w:rsidRDefault="00327795" w:rsidP="009B6531">
      <w:pPr>
        <w:spacing w:after="120"/>
        <w:rPr>
          <w:lang w:val="en-US"/>
        </w:rPr>
      </w:pPr>
      <w:r w:rsidRPr="00845BC9">
        <w:rPr>
          <w:b/>
          <w:bCs/>
          <w:u w:val="single"/>
          <w:lang w:val="en-US"/>
        </w:rPr>
        <w:t>Observation 1</w:t>
      </w:r>
      <w:r w:rsidRPr="00845BC9">
        <w:rPr>
          <w:lang w:val="en-US"/>
        </w:rPr>
        <w:t xml:space="preserve">: </w:t>
      </w:r>
      <w:r w:rsidR="00301262" w:rsidRPr="00845BC9">
        <w:rPr>
          <w:lang w:val="en-US"/>
        </w:rPr>
        <w:t xml:space="preserve">Based on the RAN1 agreement, </w:t>
      </w:r>
      <w:r w:rsidR="00A70C19" w:rsidRPr="00845BC9">
        <w:rPr>
          <w:lang w:val="en-US"/>
        </w:rPr>
        <w:t xml:space="preserve">applicability of </w:t>
      </w:r>
      <w:r w:rsidR="00301262" w:rsidRPr="00845BC9">
        <w:rPr>
          <w:lang w:val="en-US"/>
        </w:rPr>
        <w:t xml:space="preserve">RX/RxTx TEG needs to be updated. </w:t>
      </w:r>
    </w:p>
    <w:p w14:paraId="632DCE77" w14:textId="29A07D6C" w:rsidR="009B6531" w:rsidRPr="00845BC9" w:rsidRDefault="00301262" w:rsidP="00794AFE">
      <w:pPr>
        <w:spacing w:after="120"/>
        <w:jc w:val="both"/>
        <w:rPr>
          <w:lang w:val="en-US"/>
        </w:rPr>
      </w:pPr>
      <w:r w:rsidRPr="00845BC9">
        <w:rPr>
          <w:b/>
          <w:bCs/>
          <w:u w:val="single"/>
          <w:lang w:val="en-US"/>
        </w:rPr>
        <w:t xml:space="preserve">Proposal </w:t>
      </w:r>
      <w:r w:rsidR="009F6683" w:rsidRPr="00845BC9">
        <w:rPr>
          <w:b/>
          <w:bCs/>
          <w:u w:val="single"/>
          <w:lang w:val="en-US"/>
        </w:rPr>
        <w:t>1</w:t>
      </w:r>
      <w:r w:rsidRPr="00845BC9">
        <w:rPr>
          <w:lang w:val="en-US"/>
        </w:rPr>
        <w:t xml:space="preserve">: </w:t>
      </w:r>
      <w:r w:rsidR="00A70C19" w:rsidRPr="00845BC9">
        <w:rPr>
          <w:lang w:val="en-US"/>
        </w:rPr>
        <w:t xml:space="preserve">The applicability of reported UE Rx/RxTx TEG is limited to the measurements contained within the </w:t>
      </w:r>
      <w:r w:rsidR="00A70C19" w:rsidRPr="00845BC9">
        <w:rPr>
          <w:color w:val="FF0000"/>
          <w:lang w:val="en-US"/>
        </w:rPr>
        <w:t xml:space="preserve">single </w:t>
      </w:r>
      <w:r w:rsidR="00A70C19" w:rsidRPr="00845BC9">
        <w:rPr>
          <w:lang w:val="en-US"/>
        </w:rPr>
        <w:t xml:space="preserve">measurement </w:t>
      </w:r>
      <w:r w:rsidR="00A70C19" w:rsidRPr="00845BC9">
        <w:rPr>
          <w:color w:val="FF0000"/>
          <w:lang w:val="en-US"/>
        </w:rPr>
        <w:t xml:space="preserve">instance </w:t>
      </w:r>
      <w:r w:rsidR="00A70C19" w:rsidRPr="00845BC9">
        <w:rPr>
          <w:strike/>
          <w:color w:val="FF0000"/>
          <w:lang w:val="en-US"/>
        </w:rPr>
        <w:t>report</w:t>
      </w:r>
      <w:r w:rsidR="00A70C19" w:rsidRPr="00845BC9">
        <w:rPr>
          <w:color w:val="FF0000"/>
          <w:lang w:val="en-US"/>
        </w:rPr>
        <w:t xml:space="preserve"> </w:t>
      </w:r>
      <w:r w:rsidR="00A70C19" w:rsidRPr="00845BC9">
        <w:rPr>
          <w:lang w:val="en-US"/>
        </w:rPr>
        <w:t>in which the Rx</w:t>
      </w:r>
      <w:r w:rsidR="00C361A1" w:rsidRPr="00845BC9">
        <w:rPr>
          <w:lang w:val="en-US"/>
        </w:rPr>
        <w:t>/RxTx</w:t>
      </w:r>
      <w:r w:rsidR="00A70C19" w:rsidRPr="00845BC9">
        <w:rPr>
          <w:lang w:val="en-US"/>
        </w:rPr>
        <w:t xml:space="preserve"> TEG information is provided, and only to measurements that are tagged with the corresponding TEG ID.</w:t>
      </w:r>
    </w:p>
    <w:p w14:paraId="0CF8577A" w14:textId="2E40A27C" w:rsidR="0070043F" w:rsidRPr="00845BC9" w:rsidRDefault="0070043F" w:rsidP="0070043F">
      <w:pPr>
        <w:pStyle w:val="Heading2"/>
        <w:rPr>
          <w:lang w:val="en-US"/>
        </w:rPr>
      </w:pPr>
      <w:r w:rsidRPr="00845BC9">
        <w:rPr>
          <w:lang w:val="en-US"/>
        </w:rPr>
        <w:t>Rx/RxTx TEG margin reporting</w:t>
      </w:r>
    </w:p>
    <w:p w14:paraId="038D40EB" w14:textId="77777777" w:rsidR="0070043F" w:rsidRPr="00845BC9" w:rsidRDefault="0070043F" w:rsidP="0070043F">
      <w:pPr>
        <w:spacing w:after="120"/>
        <w:rPr>
          <w:lang w:val="en-US"/>
        </w:rPr>
      </w:pPr>
      <w:r w:rsidRPr="00845BC9">
        <w:rPr>
          <w:lang w:val="en-US"/>
        </w:rPr>
        <w:t xml:space="preserve">RAN1 has asked RAN4 to provide input on whether UE Rx/RxTx TEG margins are provided to LMF as UE capability, or as LPP </w:t>
      </w:r>
      <w:proofErr w:type="spellStart"/>
      <w:r w:rsidRPr="00845BC9">
        <w:rPr>
          <w:lang w:val="en-US"/>
        </w:rPr>
        <w:t>signalling</w:t>
      </w:r>
      <w:proofErr w:type="spellEnd"/>
      <w:r w:rsidRPr="00845BC9">
        <w:rPr>
          <w:lang w:val="en-US"/>
        </w:rPr>
        <w:t xml:space="preserve"> parameters outside of UE capability signaling.</w:t>
      </w:r>
    </w:p>
    <w:p w14:paraId="5D002FA4" w14:textId="77777777" w:rsidR="0070043F" w:rsidRPr="00845BC9" w:rsidRDefault="0070043F" w:rsidP="0070043F">
      <w:pPr>
        <w:spacing w:after="120"/>
        <w:rPr>
          <w:lang w:val="en-US"/>
        </w:rPr>
      </w:pPr>
      <w:r w:rsidRPr="00845BC9">
        <w:rPr>
          <w:lang w:val="en-US"/>
        </w:rPr>
        <w:t>RAN4#103-e discussed and made the following agreement on issues related to reported value for Tx/Rx/RxTx TEGs:</w:t>
      </w:r>
    </w:p>
    <w:p w14:paraId="6B30903A" w14:textId="77777777" w:rsidR="0070043F" w:rsidRPr="00845BC9" w:rsidRDefault="0070043F" w:rsidP="0070043F">
      <w:pPr>
        <w:rPr>
          <w:b/>
          <w:bCs/>
          <w:u w:val="single"/>
          <w:lang w:val="en-US"/>
        </w:rPr>
      </w:pPr>
      <w:r w:rsidRPr="00845BC9">
        <w:rPr>
          <w:b/>
          <w:bCs/>
          <w:u w:val="single"/>
          <w:lang w:val="en-US"/>
        </w:rPr>
        <w:t>Whether the reported value for Tx TEGs, Rx TEGs and RxTx TEGs can be different?</w:t>
      </w:r>
    </w:p>
    <w:p w14:paraId="4119DF41" w14:textId="77777777" w:rsidR="0070043F" w:rsidRPr="00845BC9" w:rsidRDefault="0070043F" w:rsidP="0070043F">
      <w:pPr>
        <w:rPr>
          <w:rFonts w:eastAsiaTheme="minorEastAsia"/>
          <w:i/>
          <w:lang w:val="en-US" w:eastAsia="zh-CN"/>
        </w:rPr>
      </w:pPr>
      <w:r w:rsidRPr="00845BC9">
        <w:rPr>
          <w:rFonts w:eastAsiaTheme="minorEastAsia"/>
          <w:i/>
          <w:u w:val="single"/>
          <w:lang w:val="en-US" w:eastAsia="zh-CN"/>
        </w:rPr>
        <w:t>Agreement</w:t>
      </w:r>
      <w:r w:rsidRPr="00845BC9">
        <w:rPr>
          <w:rFonts w:eastAsiaTheme="minorEastAsia"/>
          <w:i/>
          <w:lang w:val="en-US" w:eastAsia="zh-CN"/>
        </w:rPr>
        <w:t>:</w:t>
      </w:r>
    </w:p>
    <w:p w14:paraId="1896A6E5" w14:textId="77777777" w:rsidR="0070043F" w:rsidRPr="00845BC9" w:rsidRDefault="0070043F" w:rsidP="0070043F">
      <w:pPr>
        <w:pStyle w:val="ListParagraph"/>
        <w:numPr>
          <w:ilvl w:val="0"/>
          <w:numId w:val="32"/>
        </w:numPr>
        <w:overflowPunct/>
        <w:autoSpaceDE/>
        <w:autoSpaceDN/>
        <w:adjustRightInd/>
        <w:ind w:firstLineChars="0"/>
        <w:contextualSpacing/>
        <w:textAlignment w:val="auto"/>
        <w:rPr>
          <w:rFonts w:eastAsiaTheme="minorEastAsia"/>
          <w:lang w:val="en-US" w:eastAsia="zh-CN"/>
        </w:rPr>
      </w:pPr>
      <w:r w:rsidRPr="00845BC9">
        <w:rPr>
          <w:rFonts w:eastAsiaTheme="minorEastAsia"/>
          <w:i/>
          <w:iCs/>
          <w:lang w:val="en-US" w:eastAsia="zh-CN"/>
        </w:rPr>
        <w:t>The reported value for Tx TEGs, Rx TEGs and RxTx TEGs can be different</w:t>
      </w:r>
      <w:r w:rsidRPr="00845BC9">
        <w:rPr>
          <w:rFonts w:eastAsiaTheme="minorEastAsia"/>
          <w:lang w:val="en-US" w:eastAsia="zh-CN"/>
        </w:rPr>
        <w:t xml:space="preserve">. </w:t>
      </w:r>
    </w:p>
    <w:p w14:paraId="668D5058" w14:textId="77777777" w:rsidR="0070043F" w:rsidRPr="00845BC9" w:rsidRDefault="0070043F" w:rsidP="0070043F">
      <w:pPr>
        <w:rPr>
          <w:b/>
          <w:bCs/>
          <w:u w:val="single"/>
          <w:lang w:val="en-US"/>
        </w:rPr>
      </w:pPr>
      <w:r w:rsidRPr="00845BC9">
        <w:rPr>
          <w:b/>
          <w:bCs/>
          <w:u w:val="single"/>
          <w:lang w:val="en-US"/>
        </w:rPr>
        <w:t>Whether the reported value for Tx/Rx/RxTx TEGs can be different at different times?</w:t>
      </w:r>
    </w:p>
    <w:p w14:paraId="56501FCD" w14:textId="77777777" w:rsidR="0070043F" w:rsidRPr="00845BC9" w:rsidRDefault="0070043F" w:rsidP="0070043F">
      <w:pPr>
        <w:rPr>
          <w:rFonts w:eastAsiaTheme="minorEastAsia"/>
          <w:i/>
          <w:lang w:val="en-US" w:eastAsia="zh-CN"/>
        </w:rPr>
      </w:pPr>
      <w:r w:rsidRPr="00845BC9">
        <w:rPr>
          <w:rFonts w:eastAsiaTheme="minorEastAsia"/>
          <w:i/>
          <w:u w:val="single"/>
          <w:lang w:val="en-US" w:eastAsia="zh-CN"/>
        </w:rPr>
        <w:t>Agreement</w:t>
      </w:r>
      <w:r w:rsidRPr="00845BC9">
        <w:rPr>
          <w:rFonts w:eastAsiaTheme="minorEastAsia"/>
          <w:i/>
          <w:lang w:val="en-US" w:eastAsia="zh-CN"/>
        </w:rPr>
        <w:t>:</w:t>
      </w:r>
    </w:p>
    <w:p w14:paraId="5AE0E186" w14:textId="77777777" w:rsidR="0070043F" w:rsidRPr="00845BC9" w:rsidRDefault="0070043F" w:rsidP="0070043F">
      <w:pPr>
        <w:pStyle w:val="ListParagraph"/>
        <w:numPr>
          <w:ilvl w:val="0"/>
          <w:numId w:val="31"/>
        </w:numPr>
        <w:overflowPunct/>
        <w:autoSpaceDE/>
        <w:autoSpaceDN/>
        <w:adjustRightInd/>
        <w:ind w:firstLineChars="0"/>
        <w:contextualSpacing/>
        <w:textAlignment w:val="auto"/>
        <w:rPr>
          <w:lang w:val="en-US"/>
        </w:rPr>
      </w:pPr>
      <w:r w:rsidRPr="00845BC9">
        <w:rPr>
          <w:rFonts w:eastAsiaTheme="minorEastAsia"/>
          <w:i/>
          <w:iCs/>
          <w:lang w:val="en-US" w:eastAsia="zh-CN"/>
        </w:rPr>
        <w:t>T</w:t>
      </w:r>
      <w:r w:rsidRPr="00845BC9">
        <w:rPr>
          <w:i/>
          <w:iCs/>
          <w:lang w:val="en-US"/>
        </w:rPr>
        <w:t xml:space="preserve">he reported value for </w:t>
      </w:r>
      <w:r w:rsidRPr="00845BC9">
        <w:rPr>
          <w:rFonts w:eastAsiaTheme="minorEastAsia"/>
          <w:i/>
          <w:iCs/>
          <w:lang w:val="en-US" w:eastAsia="zh-CN"/>
        </w:rPr>
        <w:t xml:space="preserve">the timing error margin of </w:t>
      </w:r>
      <w:r w:rsidRPr="00845BC9">
        <w:rPr>
          <w:i/>
          <w:iCs/>
          <w:lang w:val="en-US"/>
        </w:rPr>
        <w:t>Tx/Rx/RxTx TEGs can be different at different times</w:t>
      </w:r>
      <w:r w:rsidRPr="00845BC9">
        <w:rPr>
          <w:rFonts w:eastAsiaTheme="minorEastAsia"/>
          <w:lang w:val="en-US" w:eastAsia="zh-CN"/>
        </w:rPr>
        <w:t>.</w:t>
      </w:r>
    </w:p>
    <w:p w14:paraId="19AB097A" w14:textId="794C72B5" w:rsidR="0070043F" w:rsidRPr="00845BC9" w:rsidRDefault="0070043F" w:rsidP="0070043F">
      <w:pPr>
        <w:spacing w:after="120"/>
        <w:jc w:val="both"/>
        <w:rPr>
          <w:lang w:val="en-US"/>
        </w:rPr>
      </w:pPr>
      <w:r w:rsidRPr="00845BC9">
        <w:rPr>
          <w:lang w:val="en-US"/>
        </w:rPr>
        <w:t xml:space="preserve">Based on the agreement the reported value for Tx TEGs, Rx TEGs and RxTx TEGs can be different. And the reported value for the timing error margin of Tx/Rx/RxTx TEGs can be different at different times. Defining whether UE Rx/RxTx TEG margins are provided to LMF as UE capability, or as LPP </w:t>
      </w:r>
      <w:proofErr w:type="spellStart"/>
      <w:r w:rsidRPr="00845BC9">
        <w:rPr>
          <w:lang w:val="en-US"/>
        </w:rPr>
        <w:t>signalling</w:t>
      </w:r>
      <w:proofErr w:type="spellEnd"/>
      <w:r w:rsidRPr="00845BC9">
        <w:rPr>
          <w:lang w:val="en-US"/>
        </w:rPr>
        <w:t xml:space="preserve"> parameters outside of UE capability signaling is out of RAN4 scope. It is up to RAN2 to decide on the appropriate </w:t>
      </w:r>
      <w:proofErr w:type="spellStart"/>
      <w:r w:rsidRPr="00845BC9">
        <w:rPr>
          <w:lang w:val="en-US"/>
        </w:rPr>
        <w:t>signalling</w:t>
      </w:r>
      <w:proofErr w:type="spellEnd"/>
      <w:r w:rsidRPr="00845BC9">
        <w:rPr>
          <w:lang w:val="en-US"/>
        </w:rPr>
        <w:t xml:space="preserve"> for TEG margin value reporting.</w:t>
      </w:r>
    </w:p>
    <w:p w14:paraId="04D9846A" w14:textId="6E055B2F" w:rsidR="003A6E65" w:rsidRPr="00845BC9" w:rsidRDefault="003A6E65" w:rsidP="0070043F">
      <w:pPr>
        <w:spacing w:after="120"/>
        <w:jc w:val="both"/>
        <w:rPr>
          <w:lang w:val="en-US"/>
        </w:rPr>
      </w:pPr>
      <w:r w:rsidRPr="00845BC9">
        <w:rPr>
          <w:b/>
          <w:bCs/>
          <w:u w:val="single"/>
          <w:lang w:val="en-US"/>
        </w:rPr>
        <w:t>Proposal 2</w:t>
      </w:r>
      <w:r w:rsidRPr="00845BC9">
        <w:rPr>
          <w:lang w:val="en-US"/>
        </w:rPr>
        <w:t>: Respond to RAN1 LS</w:t>
      </w:r>
      <w:r w:rsidR="00AB074E" w:rsidRPr="00845BC9">
        <w:rPr>
          <w:lang w:val="en-US"/>
        </w:rPr>
        <w:t xml:space="preserve"> (R1-2205382)</w:t>
      </w:r>
      <w:r w:rsidRPr="00845BC9">
        <w:rPr>
          <w:lang w:val="en-US"/>
        </w:rPr>
        <w:t xml:space="preserve"> as following:</w:t>
      </w:r>
    </w:p>
    <w:p w14:paraId="32956EBC" w14:textId="29C5FF49" w:rsidR="003A6E65" w:rsidRPr="00845BC9" w:rsidRDefault="003A6E65" w:rsidP="0070043F">
      <w:pPr>
        <w:spacing w:after="120"/>
        <w:jc w:val="both"/>
        <w:rPr>
          <w:lang w:val="en-US"/>
        </w:rPr>
      </w:pPr>
      <w:r w:rsidRPr="00845BC9">
        <w:rPr>
          <w:lang w:val="en-US"/>
        </w:rPr>
        <w:t xml:space="preserve">Defining whether UE Rx/RxTx TEG margins are provided to LMF as UE capability, or as LPP </w:t>
      </w:r>
      <w:proofErr w:type="spellStart"/>
      <w:r w:rsidRPr="00845BC9">
        <w:rPr>
          <w:lang w:val="en-US"/>
        </w:rPr>
        <w:t>signalling</w:t>
      </w:r>
      <w:proofErr w:type="spellEnd"/>
      <w:r w:rsidRPr="00845BC9">
        <w:rPr>
          <w:lang w:val="en-US"/>
        </w:rPr>
        <w:t xml:space="preserve"> parameters outside of UE capability signaling is out of RAN4 scope. It is up to RAN2 to decide on the appropriate </w:t>
      </w:r>
      <w:proofErr w:type="spellStart"/>
      <w:r w:rsidRPr="00845BC9">
        <w:rPr>
          <w:lang w:val="en-US"/>
        </w:rPr>
        <w:t>signalling</w:t>
      </w:r>
      <w:proofErr w:type="spellEnd"/>
      <w:r w:rsidRPr="00845BC9">
        <w:rPr>
          <w:lang w:val="en-US"/>
        </w:rPr>
        <w:t xml:space="preserve"> for TEG margin value reporting.</w:t>
      </w:r>
    </w:p>
    <w:p w14:paraId="7D1A74D2" w14:textId="77777777" w:rsidR="003A6E65" w:rsidRPr="00845BC9" w:rsidRDefault="003A6E65" w:rsidP="0070043F">
      <w:pPr>
        <w:spacing w:after="120"/>
        <w:jc w:val="both"/>
        <w:rPr>
          <w:lang w:val="en-US"/>
        </w:rPr>
      </w:pPr>
    </w:p>
    <w:p w14:paraId="1F5C13D2" w14:textId="737CDCC2" w:rsidR="00E80B52" w:rsidRPr="00845BC9" w:rsidRDefault="00C53B74" w:rsidP="00805BE8">
      <w:pPr>
        <w:pStyle w:val="Heading1"/>
        <w:rPr>
          <w:lang w:val="en-US" w:eastAsia="ja-JP"/>
        </w:rPr>
      </w:pPr>
      <w:r w:rsidRPr="00845BC9">
        <w:rPr>
          <w:lang w:val="en-US" w:eastAsia="ja-JP"/>
        </w:rPr>
        <w:t>Summary</w:t>
      </w:r>
    </w:p>
    <w:p w14:paraId="7CEBD567" w14:textId="6DF95287" w:rsidR="00AD2877" w:rsidRPr="00845BC9" w:rsidRDefault="00AD2877" w:rsidP="00C361A1">
      <w:pPr>
        <w:rPr>
          <w:lang w:val="en-US" w:eastAsia="ja-JP"/>
        </w:rPr>
      </w:pPr>
      <w:r w:rsidRPr="00845BC9">
        <w:rPr>
          <w:lang w:val="en-US" w:eastAsia="ja-JP"/>
        </w:rPr>
        <w:t xml:space="preserve">In this contribution, we presented our view on applicability </w:t>
      </w:r>
      <w:r w:rsidR="006457AB" w:rsidRPr="00845BC9">
        <w:rPr>
          <w:lang w:val="en-US" w:eastAsia="ja-JP"/>
        </w:rPr>
        <w:t xml:space="preserve">margin reporting </w:t>
      </w:r>
      <w:r w:rsidRPr="00845BC9">
        <w:rPr>
          <w:lang w:val="en-US" w:eastAsia="ja-JP"/>
        </w:rPr>
        <w:t>of Rx/RxTx TEG and proposed the following:</w:t>
      </w:r>
    </w:p>
    <w:p w14:paraId="4A9073FD" w14:textId="24B491F2" w:rsidR="00166D75" w:rsidRPr="00845BC9" w:rsidRDefault="00C361A1" w:rsidP="001F2870">
      <w:pPr>
        <w:spacing w:after="120"/>
        <w:jc w:val="both"/>
        <w:rPr>
          <w:lang w:val="en-US"/>
        </w:rPr>
      </w:pPr>
      <w:r w:rsidRPr="00845BC9">
        <w:rPr>
          <w:b/>
          <w:bCs/>
          <w:u w:val="single"/>
          <w:lang w:val="en-US"/>
        </w:rPr>
        <w:t>Proposal 1</w:t>
      </w:r>
      <w:r w:rsidRPr="00845BC9">
        <w:rPr>
          <w:lang w:val="en-US"/>
        </w:rPr>
        <w:t xml:space="preserve">: The applicability of reported UE Rx/RxTx TEG is limited to the measurements contained within the </w:t>
      </w:r>
      <w:r w:rsidRPr="00845BC9">
        <w:rPr>
          <w:color w:val="FF0000"/>
          <w:lang w:val="en-US"/>
        </w:rPr>
        <w:t xml:space="preserve">single </w:t>
      </w:r>
      <w:r w:rsidRPr="00845BC9">
        <w:rPr>
          <w:lang w:val="en-US"/>
        </w:rPr>
        <w:t xml:space="preserve">measurement </w:t>
      </w:r>
      <w:r w:rsidRPr="00845BC9">
        <w:rPr>
          <w:color w:val="FF0000"/>
          <w:lang w:val="en-US"/>
        </w:rPr>
        <w:t xml:space="preserve">instance </w:t>
      </w:r>
      <w:r w:rsidRPr="00845BC9">
        <w:rPr>
          <w:strike/>
          <w:color w:val="FF0000"/>
          <w:lang w:val="en-US"/>
        </w:rPr>
        <w:t>report</w:t>
      </w:r>
      <w:r w:rsidRPr="00845BC9">
        <w:rPr>
          <w:color w:val="FF0000"/>
          <w:lang w:val="en-US"/>
        </w:rPr>
        <w:t xml:space="preserve"> </w:t>
      </w:r>
      <w:r w:rsidRPr="00845BC9">
        <w:rPr>
          <w:lang w:val="en-US"/>
        </w:rPr>
        <w:t>in which the Rx/RxTx TEG information is provided, and only to measurements that are tagged with the corresponding TEG ID.</w:t>
      </w:r>
    </w:p>
    <w:p w14:paraId="15618874" w14:textId="77777777" w:rsidR="006457AB" w:rsidRPr="00845BC9" w:rsidRDefault="006457AB" w:rsidP="006457AB">
      <w:pPr>
        <w:spacing w:after="120"/>
        <w:jc w:val="both"/>
        <w:rPr>
          <w:lang w:val="en-US"/>
        </w:rPr>
      </w:pPr>
      <w:r w:rsidRPr="00845BC9">
        <w:rPr>
          <w:b/>
          <w:bCs/>
          <w:u w:val="single"/>
          <w:lang w:val="en-US"/>
        </w:rPr>
        <w:t>Proposal 2</w:t>
      </w:r>
      <w:r w:rsidRPr="00845BC9">
        <w:rPr>
          <w:lang w:val="en-US"/>
        </w:rPr>
        <w:t>: Respond to RAN1 LS as following:</w:t>
      </w:r>
    </w:p>
    <w:p w14:paraId="3E4FC5BC" w14:textId="59BC84BC" w:rsidR="006457AB" w:rsidRPr="00845BC9" w:rsidRDefault="006457AB" w:rsidP="006457AB">
      <w:pPr>
        <w:spacing w:after="120"/>
        <w:jc w:val="both"/>
        <w:rPr>
          <w:rFonts w:ascii="Arial" w:hAnsi="Arial" w:cs="Arial"/>
          <w:bCs/>
          <w:lang w:val="en-US"/>
        </w:rPr>
      </w:pPr>
      <w:r w:rsidRPr="00845BC9">
        <w:rPr>
          <w:lang w:val="en-US"/>
        </w:rPr>
        <w:t xml:space="preserve">Defining whether UE Rx/RxTx TEG margins are provided to LMF as UE capability, or as LPP </w:t>
      </w:r>
      <w:proofErr w:type="spellStart"/>
      <w:r w:rsidRPr="00845BC9">
        <w:rPr>
          <w:lang w:val="en-US"/>
        </w:rPr>
        <w:t>signalling</w:t>
      </w:r>
      <w:proofErr w:type="spellEnd"/>
      <w:r w:rsidRPr="00845BC9">
        <w:rPr>
          <w:lang w:val="en-US"/>
        </w:rPr>
        <w:t xml:space="preserve"> parameters outside of UE capability signaling is out of RAN4 scope. It is up to RAN2 to decide on the appropriate </w:t>
      </w:r>
      <w:proofErr w:type="spellStart"/>
      <w:r w:rsidRPr="00845BC9">
        <w:rPr>
          <w:lang w:val="en-US"/>
        </w:rPr>
        <w:t>signalling</w:t>
      </w:r>
      <w:proofErr w:type="spellEnd"/>
      <w:r w:rsidRPr="00845BC9">
        <w:rPr>
          <w:lang w:val="en-US"/>
        </w:rPr>
        <w:t xml:space="preserve"> for TEG margin value reporting.</w:t>
      </w:r>
    </w:p>
    <w:p w14:paraId="22BE7F4A" w14:textId="77777777" w:rsidR="009B6303" w:rsidRPr="00845BC9" w:rsidRDefault="009B6303" w:rsidP="009B6303">
      <w:pPr>
        <w:pStyle w:val="Heading1"/>
        <w:rPr>
          <w:lang w:val="en-US"/>
        </w:rPr>
      </w:pPr>
      <w:r w:rsidRPr="00845BC9">
        <w:rPr>
          <w:lang w:val="en-US"/>
        </w:rPr>
        <w:t>References</w:t>
      </w:r>
    </w:p>
    <w:p w14:paraId="18213A47" w14:textId="2930CF6D" w:rsidR="00D0399E" w:rsidRPr="00845BC9" w:rsidRDefault="00301262" w:rsidP="00460609">
      <w:pPr>
        <w:pStyle w:val="ListParagraph"/>
        <w:numPr>
          <w:ilvl w:val="0"/>
          <w:numId w:val="30"/>
        </w:numPr>
        <w:ind w:firstLineChars="0"/>
        <w:rPr>
          <w:lang w:val="en-US"/>
        </w:rPr>
      </w:pPr>
      <w:r w:rsidRPr="00845BC9">
        <w:rPr>
          <w:lang w:val="en-US"/>
        </w:rPr>
        <w:t>R4-2206997, “WF on NR Positioning Enhancements (Part 2)”, CATT.</w:t>
      </w:r>
    </w:p>
    <w:p w14:paraId="39D4F3C3" w14:textId="697DBF4F" w:rsidR="00D0399E" w:rsidRPr="00845BC9" w:rsidRDefault="00D0399E" w:rsidP="00D0399E">
      <w:pPr>
        <w:pStyle w:val="ListParagraph"/>
        <w:numPr>
          <w:ilvl w:val="0"/>
          <w:numId w:val="30"/>
        </w:numPr>
        <w:ind w:firstLineChars="0"/>
        <w:rPr>
          <w:lang w:val="en-US"/>
        </w:rPr>
      </w:pPr>
      <w:r w:rsidRPr="00845BC9">
        <w:rPr>
          <w:lang w:val="en-US"/>
        </w:rPr>
        <w:t>R1-2205382, “Reply LS on the UE/TRP TEG framework”, CATT.</w:t>
      </w:r>
    </w:p>
    <w:p w14:paraId="43F00254" w14:textId="2422514E" w:rsidR="009B6303" w:rsidRPr="00845BC9" w:rsidRDefault="009C1A17" w:rsidP="00C735E2">
      <w:pPr>
        <w:pStyle w:val="ListParagraph"/>
        <w:numPr>
          <w:ilvl w:val="0"/>
          <w:numId w:val="30"/>
        </w:numPr>
        <w:ind w:firstLineChars="0"/>
        <w:rPr>
          <w:lang w:val="en-US"/>
        </w:rPr>
      </w:pPr>
      <w:r w:rsidRPr="00845BC9">
        <w:rPr>
          <w:lang w:val="en-US"/>
        </w:rPr>
        <w:t>R1-2202922, “LS on multiple measurement instances”, CATT.</w:t>
      </w:r>
    </w:p>
    <w:sectPr w:rsidR="009B6303" w:rsidRPr="00845BC9"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02261" w14:textId="77777777" w:rsidR="00AF36EA" w:rsidRDefault="00AF36EA">
      <w:r>
        <w:separator/>
      </w:r>
    </w:p>
  </w:endnote>
  <w:endnote w:type="continuationSeparator" w:id="0">
    <w:p w14:paraId="2C287B08" w14:textId="77777777" w:rsidR="00AF36EA" w:rsidRDefault="00AF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4609B" w14:textId="77777777" w:rsidR="00AF36EA" w:rsidRDefault="00AF36EA">
      <w:r>
        <w:separator/>
      </w:r>
    </w:p>
  </w:footnote>
  <w:footnote w:type="continuationSeparator" w:id="0">
    <w:p w14:paraId="644E4DF1" w14:textId="77777777" w:rsidR="00AF36EA" w:rsidRDefault="00AF3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B9116D"/>
    <w:multiLevelType w:val="hybridMultilevel"/>
    <w:tmpl w:val="CE4482B4"/>
    <w:lvl w:ilvl="0" w:tplc="9A12534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5975B04"/>
    <w:multiLevelType w:val="hybridMultilevel"/>
    <w:tmpl w:val="C03E9DC8"/>
    <w:lvl w:ilvl="0" w:tplc="B9F22AD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1A71E8"/>
    <w:multiLevelType w:val="hybridMultilevel"/>
    <w:tmpl w:val="50AE9408"/>
    <w:lvl w:ilvl="0" w:tplc="0C5C8BD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2" w15:restartNumberingAfterBreak="0">
    <w:nsid w:val="3DB16CF6"/>
    <w:multiLevelType w:val="hybridMultilevel"/>
    <w:tmpl w:val="DE9A6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2D51C0E"/>
    <w:multiLevelType w:val="hybridMultilevel"/>
    <w:tmpl w:val="E3802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6A627342"/>
    <w:multiLevelType w:val="hybridMultilevel"/>
    <w:tmpl w:val="7A7A3D0E"/>
    <w:lvl w:ilvl="0" w:tplc="65EC8E9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97209129">
    <w:abstractNumId w:val="0"/>
  </w:num>
  <w:num w:numId="2" w16cid:durableId="631518109">
    <w:abstractNumId w:val="9"/>
  </w:num>
  <w:num w:numId="3" w16cid:durableId="1769886271">
    <w:abstractNumId w:val="18"/>
  </w:num>
  <w:num w:numId="4" w16cid:durableId="174072886">
    <w:abstractNumId w:val="15"/>
  </w:num>
  <w:num w:numId="5" w16cid:durableId="1730419240">
    <w:abstractNumId w:val="11"/>
  </w:num>
  <w:num w:numId="6" w16cid:durableId="277642089">
    <w:abstractNumId w:val="11"/>
  </w:num>
  <w:num w:numId="7" w16cid:durableId="1046685458">
    <w:abstractNumId w:val="11"/>
  </w:num>
  <w:num w:numId="8" w16cid:durableId="1976445973">
    <w:abstractNumId w:val="11"/>
  </w:num>
  <w:num w:numId="9" w16cid:durableId="1528910883">
    <w:abstractNumId w:val="11"/>
  </w:num>
  <w:num w:numId="10" w16cid:durableId="447118965">
    <w:abstractNumId w:val="11"/>
  </w:num>
  <w:num w:numId="11" w16cid:durableId="517700627">
    <w:abstractNumId w:val="11"/>
  </w:num>
  <w:num w:numId="12" w16cid:durableId="434249310">
    <w:abstractNumId w:val="11"/>
  </w:num>
  <w:num w:numId="13" w16cid:durableId="1948077584">
    <w:abstractNumId w:val="11"/>
  </w:num>
  <w:num w:numId="14" w16cid:durableId="920406423">
    <w:abstractNumId w:val="11"/>
  </w:num>
  <w:num w:numId="15" w16cid:durableId="295071237">
    <w:abstractNumId w:val="11"/>
  </w:num>
  <w:num w:numId="16" w16cid:durableId="448399414">
    <w:abstractNumId w:val="11"/>
  </w:num>
  <w:num w:numId="17" w16cid:durableId="1023745741">
    <w:abstractNumId w:val="8"/>
  </w:num>
  <w:num w:numId="18" w16cid:durableId="383257453">
    <w:abstractNumId w:val="4"/>
  </w:num>
  <w:num w:numId="19" w16cid:durableId="1844852004">
    <w:abstractNumId w:val="3"/>
  </w:num>
  <w:num w:numId="20" w16cid:durableId="142815290">
    <w:abstractNumId w:val="1"/>
  </w:num>
  <w:num w:numId="21" w16cid:durableId="418716757">
    <w:abstractNumId w:val="11"/>
  </w:num>
  <w:num w:numId="22" w16cid:durableId="1778864828">
    <w:abstractNumId w:val="11"/>
  </w:num>
  <w:num w:numId="23" w16cid:durableId="145972534">
    <w:abstractNumId w:val="10"/>
  </w:num>
  <w:num w:numId="24" w16cid:durableId="653143522">
    <w:abstractNumId w:val="16"/>
  </w:num>
  <w:num w:numId="25" w16cid:durableId="1083841635">
    <w:abstractNumId w:val="13"/>
  </w:num>
  <w:num w:numId="26" w16cid:durableId="726302007">
    <w:abstractNumId w:val="5"/>
  </w:num>
  <w:num w:numId="27" w16cid:durableId="299380153">
    <w:abstractNumId w:val="2"/>
  </w:num>
  <w:num w:numId="28" w16cid:durableId="538469725">
    <w:abstractNumId w:val="6"/>
  </w:num>
  <w:num w:numId="29" w16cid:durableId="1965574560">
    <w:abstractNumId w:val="17"/>
  </w:num>
  <w:num w:numId="30" w16cid:durableId="987397382">
    <w:abstractNumId w:val="7"/>
  </w:num>
  <w:num w:numId="31" w16cid:durableId="284239285">
    <w:abstractNumId w:val="12"/>
  </w:num>
  <w:num w:numId="32" w16cid:durableId="1272974872">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754"/>
    <w:rsid w:val="00000265"/>
    <w:rsid w:val="0000223C"/>
    <w:rsid w:val="00004165"/>
    <w:rsid w:val="00020C56"/>
    <w:rsid w:val="00025600"/>
    <w:rsid w:val="00026ACC"/>
    <w:rsid w:val="0003171D"/>
    <w:rsid w:val="00031C1D"/>
    <w:rsid w:val="00032362"/>
    <w:rsid w:val="00033CD9"/>
    <w:rsid w:val="000353D4"/>
    <w:rsid w:val="00035C50"/>
    <w:rsid w:val="00037EB5"/>
    <w:rsid w:val="000457A1"/>
    <w:rsid w:val="00050001"/>
    <w:rsid w:val="00052041"/>
    <w:rsid w:val="0005326A"/>
    <w:rsid w:val="00054A5B"/>
    <w:rsid w:val="0006266D"/>
    <w:rsid w:val="00065506"/>
    <w:rsid w:val="0007382E"/>
    <w:rsid w:val="00074CCD"/>
    <w:rsid w:val="000766E1"/>
    <w:rsid w:val="00077FF6"/>
    <w:rsid w:val="00080D82"/>
    <w:rsid w:val="00081692"/>
    <w:rsid w:val="00082C46"/>
    <w:rsid w:val="00085A0E"/>
    <w:rsid w:val="00087548"/>
    <w:rsid w:val="000902C0"/>
    <w:rsid w:val="00093E7E"/>
    <w:rsid w:val="000A1830"/>
    <w:rsid w:val="000A4121"/>
    <w:rsid w:val="000A4AA3"/>
    <w:rsid w:val="000A550E"/>
    <w:rsid w:val="000B0960"/>
    <w:rsid w:val="000B18F8"/>
    <w:rsid w:val="000B1A55"/>
    <w:rsid w:val="000B20BB"/>
    <w:rsid w:val="000B2EF6"/>
    <w:rsid w:val="000B2FA6"/>
    <w:rsid w:val="000B4AA0"/>
    <w:rsid w:val="000B7E2B"/>
    <w:rsid w:val="000C2553"/>
    <w:rsid w:val="000C38C3"/>
    <w:rsid w:val="000C4549"/>
    <w:rsid w:val="000C4FEA"/>
    <w:rsid w:val="000D09FD"/>
    <w:rsid w:val="000D19DE"/>
    <w:rsid w:val="000D44FB"/>
    <w:rsid w:val="000D45BC"/>
    <w:rsid w:val="000D574B"/>
    <w:rsid w:val="000D6CFC"/>
    <w:rsid w:val="000E01F3"/>
    <w:rsid w:val="000E537B"/>
    <w:rsid w:val="000E57D0"/>
    <w:rsid w:val="000E7858"/>
    <w:rsid w:val="000F39CA"/>
    <w:rsid w:val="001015C5"/>
    <w:rsid w:val="00104B7C"/>
    <w:rsid w:val="00107927"/>
    <w:rsid w:val="00110B88"/>
    <w:rsid w:val="00110E26"/>
    <w:rsid w:val="00111321"/>
    <w:rsid w:val="001113F6"/>
    <w:rsid w:val="00111DCD"/>
    <w:rsid w:val="001128E7"/>
    <w:rsid w:val="00117BD6"/>
    <w:rsid w:val="001206C2"/>
    <w:rsid w:val="00121978"/>
    <w:rsid w:val="00123422"/>
    <w:rsid w:val="00124B6A"/>
    <w:rsid w:val="0013240D"/>
    <w:rsid w:val="00136092"/>
    <w:rsid w:val="00136D4C"/>
    <w:rsid w:val="00142538"/>
    <w:rsid w:val="00142BB9"/>
    <w:rsid w:val="00144F96"/>
    <w:rsid w:val="00151EAC"/>
    <w:rsid w:val="00153528"/>
    <w:rsid w:val="00154E68"/>
    <w:rsid w:val="00156746"/>
    <w:rsid w:val="00162548"/>
    <w:rsid w:val="00166D75"/>
    <w:rsid w:val="00172183"/>
    <w:rsid w:val="001751AB"/>
    <w:rsid w:val="00175A3F"/>
    <w:rsid w:val="00180E09"/>
    <w:rsid w:val="00183D4C"/>
    <w:rsid w:val="00183F6D"/>
    <w:rsid w:val="00184A0D"/>
    <w:rsid w:val="0018670E"/>
    <w:rsid w:val="0019219A"/>
    <w:rsid w:val="00192678"/>
    <w:rsid w:val="00195077"/>
    <w:rsid w:val="001A033F"/>
    <w:rsid w:val="001A08AA"/>
    <w:rsid w:val="001A59CB"/>
    <w:rsid w:val="001B7991"/>
    <w:rsid w:val="001C1409"/>
    <w:rsid w:val="001C2A83"/>
    <w:rsid w:val="001C2AE6"/>
    <w:rsid w:val="001C4A89"/>
    <w:rsid w:val="001C6177"/>
    <w:rsid w:val="001C762B"/>
    <w:rsid w:val="001D0363"/>
    <w:rsid w:val="001D12B4"/>
    <w:rsid w:val="001D7D94"/>
    <w:rsid w:val="001E0A28"/>
    <w:rsid w:val="001E4218"/>
    <w:rsid w:val="001E4A06"/>
    <w:rsid w:val="001E4BF3"/>
    <w:rsid w:val="001F0B20"/>
    <w:rsid w:val="001F139C"/>
    <w:rsid w:val="001F2870"/>
    <w:rsid w:val="00200A62"/>
    <w:rsid w:val="0020301A"/>
    <w:rsid w:val="00203740"/>
    <w:rsid w:val="002043FB"/>
    <w:rsid w:val="002138EA"/>
    <w:rsid w:val="002139EA"/>
    <w:rsid w:val="00213F84"/>
    <w:rsid w:val="00214FBD"/>
    <w:rsid w:val="00221E08"/>
    <w:rsid w:val="00222897"/>
    <w:rsid w:val="00222B0C"/>
    <w:rsid w:val="0023222B"/>
    <w:rsid w:val="00235394"/>
    <w:rsid w:val="00235577"/>
    <w:rsid w:val="00235BA6"/>
    <w:rsid w:val="002371B2"/>
    <w:rsid w:val="00237F58"/>
    <w:rsid w:val="002406D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3524"/>
    <w:rsid w:val="00284016"/>
    <w:rsid w:val="002858BF"/>
    <w:rsid w:val="002913DE"/>
    <w:rsid w:val="002939AF"/>
    <w:rsid w:val="002939B5"/>
    <w:rsid w:val="00294491"/>
    <w:rsid w:val="002948B1"/>
    <w:rsid w:val="00294BDE"/>
    <w:rsid w:val="002A0CED"/>
    <w:rsid w:val="002A2968"/>
    <w:rsid w:val="002A4CD0"/>
    <w:rsid w:val="002A557F"/>
    <w:rsid w:val="002A7DA6"/>
    <w:rsid w:val="002B516C"/>
    <w:rsid w:val="002B5E1D"/>
    <w:rsid w:val="002B60C1"/>
    <w:rsid w:val="002B678E"/>
    <w:rsid w:val="002C00A4"/>
    <w:rsid w:val="002C3AA6"/>
    <w:rsid w:val="002C4B52"/>
    <w:rsid w:val="002D03E5"/>
    <w:rsid w:val="002D36EB"/>
    <w:rsid w:val="002D6BDF"/>
    <w:rsid w:val="002E10EC"/>
    <w:rsid w:val="002E114F"/>
    <w:rsid w:val="002E2CE9"/>
    <w:rsid w:val="002E3BF7"/>
    <w:rsid w:val="002E403E"/>
    <w:rsid w:val="002E4C74"/>
    <w:rsid w:val="002E4F93"/>
    <w:rsid w:val="002F158C"/>
    <w:rsid w:val="002F4093"/>
    <w:rsid w:val="002F5636"/>
    <w:rsid w:val="002F7F53"/>
    <w:rsid w:val="00300971"/>
    <w:rsid w:val="00301262"/>
    <w:rsid w:val="003022A5"/>
    <w:rsid w:val="00302EDD"/>
    <w:rsid w:val="00305D37"/>
    <w:rsid w:val="00307E51"/>
    <w:rsid w:val="00311363"/>
    <w:rsid w:val="00311754"/>
    <w:rsid w:val="00315867"/>
    <w:rsid w:val="00321150"/>
    <w:rsid w:val="003260D7"/>
    <w:rsid w:val="00327795"/>
    <w:rsid w:val="00336697"/>
    <w:rsid w:val="003418CB"/>
    <w:rsid w:val="00355873"/>
    <w:rsid w:val="0035660F"/>
    <w:rsid w:val="003628B9"/>
    <w:rsid w:val="00362D8F"/>
    <w:rsid w:val="003639BE"/>
    <w:rsid w:val="00367724"/>
    <w:rsid w:val="003710BA"/>
    <w:rsid w:val="003770F6"/>
    <w:rsid w:val="00383E37"/>
    <w:rsid w:val="00387969"/>
    <w:rsid w:val="00390F11"/>
    <w:rsid w:val="00393042"/>
    <w:rsid w:val="00394AD5"/>
    <w:rsid w:val="0039642D"/>
    <w:rsid w:val="003A2E40"/>
    <w:rsid w:val="003A6E65"/>
    <w:rsid w:val="003B0158"/>
    <w:rsid w:val="003B2F4D"/>
    <w:rsid w:val="003B40B6"/>
    <w:rsid w:val="003B56DB"/>
    <w:rsid w:val="003B755E"/>
    <w:rsid w:val="003C228E"/>
    <w:rsid w:val="003C51E7"/>
    <w:rsid w:val="003C6893"/>
    <w:rsid w:val="003C6DE2"/>
    <w:rsid w:val="003D1EFD"/>
    <w:rsid w:val="003D28BF"/>
    <w:rsid w:val="003D4215"/>
    <w:rsid w:val="003D4C47"/>
    <w:rsid w:val="003D6ACC"/>
    <w:rsid w:val="003D7719"/>
    <w:rsid w:val="003E40EE"/>
    <w:rsid w:val="003F1C1B"/>
    <w:rsid w:val="003F3A2F"/>
    <w:rsid w:val="003F512B"/>
    <w:rsid w:val="00401144"/>
    <w:rsid w:val="00403918"/>
    <w:rsid w:val="00404831"/>
    <w:rsid w:val="00404F29"/>
    <w:rsid w:val="00407661"/>
    <w:rsid w:val="00410314"/>
    <w:rsid w:val="00412063"/>
    <w:rsid w:val="00412EB1"/>
    <w:rsid w:val="00413DDE"/>
    <w:rsid w:val="00414118"/>
    <w:rsid w:val="00416084"/>
    <w:rsid w:val="00422E99"/>
    <w:rsid w:val="00424425"/>
    <w:rsid w:val="00424F8C"/>
    <w:rsid w:val="00426275"/>
    <w:rsid w:val="004271BA"/>
    <w:rsid w:val="00430497"/>
    <w:rsid w:val="00430EA5"/>
    <w:rsid w:val="00434DC1"/>
    <w:rsid w:val="004350F4"/>
    <w:rsid w:val="004412A0"/>
    <w:rsid w:val="00442337"/>
    <w:rsid w:val="00446408"/>
    <w:rsid w:val="00450F27"/>
    <w:rsid w:val="004510E5"/>
    <w:rsid w:val="00454D64"/>
    <w:rsid w:val="00456A75"/>
    <w:rsid w:val="00461E39"/>
    <w:rsid w:val="00462D3A"/>
    <w:rsid w:val="00463521"/>
    <w:rsid w:val="00471125"/>
    <w:rsid w:val="004715B7"/>
    <w:rsid w:val="00473803"/>
    <w:rsid w:val="0047437A"/>
    <w:rsid w:val="00480A1D"/>
    <w:rsid w:val="00480E42"/>
    <w:rsid w:val="00484C5D"/>
    <w:rsid w:val="0048543E"/>
    <w:rsid w:val="004868C1"/>
    <w:rsid w:val="0048750F"/>
    <w:rsid w:val="004A17E9"/>
    <w:rsid w:val="004A1B4D"/>
    <w:rsid w:val="004A495F"/>
    <w:rsid w:val="004A7544"/>
    <w:rsid w:val="004B3400"/>
    <w:rsid w:val="004B6B0F"/>
    <w:rsid w:val="004C54E5"/>
    <w:rsid w:val="004C7DC8"/>
    <w:rsid w:val="004D21B0"/>
    <w:rsid w:val="004D737D"/>
    <w:rsid w:val="004E2659"/>
    <w:rsid w:val="004E39EE"/>
    <w:rsid w:val="004E475C"/>
    <w:rsid w:val="004E56E0"/>
    <w:rsid w:val="004E7329"/>
    <w:rsid w:val="004F2CB0"/>
    <w:rsid w:val="005017F7"/>
    <w:rsid w:val="00501FA7"/>
    <w:rsid w:val="0050336F"/>
    <w:rsid w:val="005034DC"/>
    <w:rsid w:val="00505BFA"/>
    <w:rsid w:val="005071B4"/>
    <w:rsid w:val="00507687"/>
    <w:rsid w:val="00510344"/>
    <w:rsid w:val="005107D1"/>
    <w:rsid w:val="005117A9"/>
    <w:rsid w:val="00511F57"/>
    <w:rsid w:val="00515CBE"/>
    <w:rsid w:val="00515E2B"/>
    <w:rsid w:val="00522A7E"/>
    <w:rsid w:val="00522F20"/>
    <w:rsid w:val="005274AC"/>
    <w:rsid w:val="005308DB"/>
    <w:rsid w:val="00530A2E"/>
    <w:rsid w:val="00530FBE"/>
    <w:rsid w:val="0053284C"/>
    <w:rsid w:val="00533159"/>
    <w:rsid w:val="005339DB"/>
    <w:rsid w:val="00534C89"/>
    <w:rsid w:val="00541573"/>
    <w:rsid w:val="0054348A"/>
    <w:rsid w:val="00543B24"/>
    <w:rsid w:val="00550A22"/>
    <w:rsid w:val="00571777"/>
    <w:rsid w:val="00580FF5"/>
    <w:rsid w:val="0058519C"/>
    <w:rsid w:val="0058741E"/>
    <w:rsid w:val="0059149A"/>
    <w:rsid w:val="005956EE"/>
    <w:rsid w:val="005A083E"/>
    <w:rsid w:val="005A790E"/>
    <w:rsid w:val="005B4802"/>
    <w:rsid w:val="005C1EA6"/>
    <w:rsid w:val="005D0B99"/>
    <w:rsid w:val="005D308E"/>
    <w:rsid w:val="005D3A48"/>
    <w:rsid w:val="005D7AF8"/>
    <w:rsid w:val="005E104D"/>
    <w:rsid w:val="005E17BF"/>
    <w:rsid w:val="005E366A"/>
    <w:rsid w:val="005F2145"/>
    <w:rsid w:val="005F52A5"/>
    <w:rsid w:val="006016E1"/>
    <w:rsid w:val="00602D27"/>
    <w:rsid w:val="00610079"/>
    <w:rsid w:val="006109A6"/>
    <w:rsid w:val="00611C3A"/>
    <w:rsid w:val="00612897"/>
    <w:rsid w:val="006144A1"/>
    <w:rsid w:val="00615EBB"/>
    <w:rsid w:val="00616096"/>
    <w:rsid w:val="006160A2"/>
    <w:rsid w:val="006302AA"/>
    <w:rsid w:val="006334A3"/>
    <w:rsid w:val="00635192"/>
    <w:rsid w:val="006363BD"/>
    <w:rsid w:val="006412DC"/>
    <w:rsid w:val="00642BC6"/>
    <w:rsid w:val="00644790"/>
    <w:rsid w:val="006457AB"/>
    <w:rsid w:val="006501AF"/>
    <w:rsid w:val="00650DDE"/>
    <w:rsid w:val="00654DE1"/>
    <w:rsid w:val="0065505B"/>
    <w:rsid w:val="00665A10"/>
    <w:rsid w:val="006670AC"/>
    <w:rsid w:val="00672307"/>
    <w:rsid w:val="006808C6"/>
    <w:rsid w:val="00682668"/>
    <w:rsid w:val="00692A68"/>
    <w:rsid w:val="00693FE8"/>
    <w:rsid w:val="00695D85"/>
    <w:rsid w:val="006A30A2"/>
    <w:rsid w:val="006A6D23"/>
    <w:rsid w:val="006B25DE"/>
    <w:rsid w:val="006C1C3B"/>
    <w:rsid w:val="006C4E43"/>
    <w:rsid w:val="006C643E"/>
    <w:rsid w:val="006D2932"/>
    <w:rsid w:val="006D3671"/>
    <w:rsid w:val="006D40C1"/>
    <w:rsid w:val="006D4176"/>
    <w:rsid w:val="006E0A73"/>
    <w:rsid w:val="006E0FEE"/>
    <w:rsid w:val="006E6C11"/>
    <w:rsid w:val="006F7C0C"/>
    <w:rsid w:val="0070043F"/>
    <w:rsid w:val="00700755"/>
    <w:rsid w:val="0070145A"/>
    <w:rsid w:val="0070166D"/>
    <w:rsid w:val="00703BFF"/>
    <w:rsid w:val="0070646B"/>
    <w:rsid w:val="0070674A"/>
    <w:rsid w:val="00707546"/>
    <w:rsid w:val="00712BD7"/>
    <w:rsid w:val="00712F25"/>
    <w:rsid w:val="007130A2"/>
    <w:rsid w:val="00715463"/>
    <w:rsid w:val="00720B47"/>
    <w:rsid w:val="00723AA2"/>
    <w:rsid w:val="007257A5"/>
    <w:rsid w:val="00725D38"/>
    <w:rsid w:val="00730655"/>
    <w:rsid w:val="00731D77"/>
    <w:rsid w:val="00732360"/>
    <w:rsid w:val="007336CC"/>
    <w:rsid w:val="0073390A"/>
    <w:rsid w:val="00734B33"/>
    <w:rsid w:val="00734E64"/>
    <w:rsid w:val="00736B37"/>
    <w:rsid w:val="00740A35"/>
    <w:rsid w:val="00747B26"/>
    <w:rsid w:val="007520B4"/>
    <w:rsid w:val="007629B7"/>
    <w:rsid w:val="007655D5"/>
    <w:rsid w:val="007763C1"/>
    <w:rsid w:val="00777E82"/>
    <w:rsid w:val="00780CD7"/>
    <w:rsid w:val="00781359"/>
    <w:rsid w:val="00786921"/>
    <w:rsid w:val="00794AFE"/>
    <w:rsid w:val="007A1EAA"/>
    <w:rsid w:val="007A79FD"/>
    <w:rsid w:val="007B0B9D"/>
    <w:rsid w:val="007B26E3"/>
    <w:rsid w:val="007B5A43"/>
    <w:rsid w:val="007B7007"/>
    <w:rsid w:val="007B709B"/>
    <w:rsid w:val="007B70B5"/>
    <w:rsid w:val="007C0ACD"/>
    <w:rsid w:val="007C1343"/>
    <w:rsid w:val="007C5EF1"/>
    <w:rsid w:val="007C7BF5"/>
    <w:rsid w:val="007D19B7"/>
    <w:rsid w:val="007D715E"/>
    <w:rsid w:val="007D75E5"/>
    <w:rsid w:val="007D773E"/>
    <w:rsid w:val="007E066E"/>
    <w:rsid w:val="007E1356"/>
    <w:rsid w:val="007E20FC"/>
    <w:rsid w:val="007E66A5"/>
    <w:rsid w:val="007E7062"/>
    <w:rsid w:val="007F0E1E"/>
    <w:rsid w:val="007F29A7"/>
    <w:rsid w:val="007F2DAD"/>
    <w:rsid w:val="007F506E"/>
    <w:rsid w:val="008004B4"/>
    <w:rsid w:val="00801FB2"/>
    <w:rsid w:val="0080306D"/>
    <w:rsid w:val="00805BE8"/>
    <w:rsid w:val="00816078"/>
    <w:rsid w:val="008177E3"/>
    <w:rsid w:val="0082265D"/>
    <w:rsid w:val="00823AA9"/>
    <w:rsid w:val="008255B9"/>
    <w:rsid w:val="00825A17"/>
    <w:rsid w:val="00825CD8"/>
    <w:rsid w:val="00827324"/>
    <w:rsid w:val="00830D2F"/>
    <w:rsid w:val="008355EA"/>
    <w:rsid w:val="00837458"/>
    <w:rsid w:val="00837AAE"/>
    <w:rsid w:val="008429AD"/>
    <w:rsid w:val="008429DB"/>
    <w:rsid w:val="00845BC9"/>
    <w:rsid w:val="00850C75"/>
    <w:rsid w:val="00850E39"/>
    <w:rsid w:val="0085477A"/>
    <w:rsid w:val="00855107"/>
    <w:rsid w:val="00855173"/>
    <w:rsid w:val="00855345"/>
    <w:rsid w:val="008557D9"/>
    <w:rsid w:val="00855BF7"/>
    <w:rsid w:val="00856214"/>
    <w:rsid w:val="00862089"/>
    <w:rsid w:val="0086216A"/>
    <w:rsid w:val="00864B95"/>
    <w:rsid w:val="00866D5B"/>
    <w:rsid w:val="00866FF5"/>
    <w:rsid w:val="00871CA7"/>
    <w:rsid w:val="0087332D"/>
    <w:rsid w:val="00873E1F"/>
    <w:rsid w:val="00874C16"/>
    <w:rsid w:val="00876AED"/>
    <w:rsid w:val="00882625"/>
    <w:rsid w:val="00885E05"/>
    <w:rsid w:val="00886D1F"/>
    <w:rsid w:val="00891EE1"/>
    <w:rsid w:val="008922BD"/>
    <w:rsid w:val="008929E6"/>
    <w:rsid w:val="00893987"/>
    <w:rsid w:val="008963EF"/>
    <w:rsid w:val="0089688E"/>
    <w:rsid w:val="008A1FBE"/>
    <w:rsid w:val="008B0882"/>
    <w:rsid w:val="008B3194"/>
    <w:rsid w:val="008B5AE7"/>
    <w:rsid w:val="008C60E9"/>
    <w:rsid w:val="008D1B7C"/>
    <w:rsid w:val="008D3F70"/>
    <w:rsid w:val="008D6657"/>
    <w:rsid w:val="008D73ED"/>
    <w:rsid w:val="008E1F60"/>
    <w:rsid w:val="008E307E"/>
    <w:rsid w:val="008F4DD1"/>
    <w:rsid w:val="008F6056"/>
    <w:rsid w:val="009002C7"/>
    <w:rsid w:val="00902C07"/>
    <w:rsid w:val="00905804"/>
    <w:rsid w:val="009101E2"/>
    <w:rsid w:val="00915670"/>
    <w:rsid w:val="00915D73"/>
    <w:rsid w:val="00916077"/>
    <w:rsid w:val="009170A2"/>
    <w:rsid w:val="009208A6"/>
    <w:rsid w:val="00921832"/>
    <w:rsid w:val="00924514"/>
    <w:rsid w:val="0092588B"/>
    <w:rsid w:val="00927316"/>
    <w:rsid w:val="0093133D"/>
    <w:rsid w:val="0093276D"/>
    <w:rsid w:val="00933D12"/>
    <w:rsid w:val="00937065"/>
    <w:rsid w:val="00940285"/>
    <w:rsid w:val="009415B0"/>
    <w:rsid w:val="009436D4"/>
    <w:rsid w:val="00946560"/>
    <w:rsid w:val="00946D1F"/>
    <w:rsid w:val="0094747A"/>
    <w:rsid w:val="00947E7E"/>
    <w:rsid w:val="0095139A"/>
    <w:rsid w:val="00953E16"/>
    <w:rsid w:val="009542AC"/>
    <w:rsid w:val="0095606C"/>
    <w:rsid w:val="00961BB2"/>
    <w:rsid w:val="00962108"/>
    <w:rsid w:val="009638D6"/>
    <w:rsid w:val="00964A78"/>
    <w:rsid w:val="0097408E"/>
    <w:rsid w:val="00974BB2"/>
    <w:rsid w:val="00974FA7"/>
    <w:rsid w:val="009756E5"/>
    <w:rsid w:val="00977A8C"/>
    <w:rsid w:val="00983910"/>
    <w:rsid w:val="009851F1"/>
    <w:rsid w:val="0099080E"/>
    <w:rsid w:val="009932AC"/>
    <w:rsid w:val="00994351"/>
    <w:rsid w:val="00994AF6"/>
    <w:rsid w:val="00996A8F"/>
    <w:rsid w:val="009A172F"/>
    <w:rsid w:val="009A18D5"/>
    <w:rsid w:val="009A1DBF"/>
    <w:rsid w:val="009A36C4"/>
    <w:rsid w:val="009A68E6"/>
    <w:rsid w:val="009A7417"/>
    <w:rsid w:val="009A7598"/>
    <w:rsid w:val="009B1DF8"/>
    <w:rsid w:val="009B3D20"/>
    <w:rsid w:val="009B5418"/>
    <w:rsid w:val="009B6303"/>
    <w:rsid w:val="009B6531"/>
    <w:rsid w:val="009C0727"/>
    <w:rsid w:val="009C1A17"/>
    <w:rsid w:val="009C3C80"/>
    <w:rsid w:val="009C492F"/>
    <w:rsid w:val="009C5614"/>
    <w:rsid w:val="009D06DC"/>
    <w:rsid w:val="009D2FF2"/>
    <w:rsid w:val="009D3226"/>
    <w:rsid w:val="009D3385"/>
    <w:rsid w:val="009D56FC"/>
    <w:rsid w:val="009D71E9"/>
    <w:rsid w:val="009D793C"/>
    <w:rsid w:val="009E0C20"/>
    <w:rsid w:val="009E16A9"/>
    <w:rsid w:val="009E375F"/>
    <w:rsid w:val="009E39D4"/>
    <w:rsid w:val="009E433B"/>
    <w:rsid w:val="009E5401"/>
    <w:rsid w:val="009F0FE0"/>
    <w:rsid w:val="009F2E0A"/>
    <w:rsid w:val="009F408D"/>
    <w:rsid w:val="009F6683"/>
    <w:rsid w:val="00A01D30"/>
    <w:rsid w:val="00A0758F"/>
    <w:rsid w:val="00A1570A"/>
    <w:rsid w:val="00A211B4"/>
    <w:rsid w:val="00A268D9"/>
    <w:rsid w:val="00A33DDF"/>
    <w:rsid w:val="00A34547"/>
    <w:rsid w:val="00A376B7"/>
    <w:rsid w:val="00A41BF5"/>
    <w:rsid w:val="00A426AE"/>
    <w:rsid w:val="00A44778"/>
    <w:rsid w:val="00A450EA"/>
    <w:rsid w:val="00A45ACE"/>
    <w:rsid w:val="00A469E7"/>
    <w:rsid w:val="00A604A4"/>
    <w:rsid w:val="00A61B7D"/>
    <w:rsid w:val="00A62A4A"/>
    <w:rsid w:val="00A6605B"/>
    <w:rsid w:val="00A66ADC"/>
    <w:rsid w:val="00A70C19"/>
    <w:rsid w:val="00A7147D"/>
    <w:rsid w:val="00A77697"/>
    <w:rsid w:val="00A81B15"/>
    <w:rsid w:val="00A837FF"/>
    <w:rsid w:val="00A84052"/>
    <w:rsid w:val="00A84DC8"/>
    <w:rsid w:val="00A85DBC"/>
    <w:rsid w:val="00A86B7C"/>
    <w:rsid w:val="00A87FEB"/>
    <w:rsid w:val="00A9133F"/>
    <w:rsid w:val="00A91A16"/>
    <w:rsid w:val="00A93966"/>
    <w:rsid w:val="00A93F9F"/>
    <w:rsid w:val="00A9420E"/>
    <w:rsid w:val="00A9513E"/>
    <w:rsid w:val="00A97648"/>
    <w:rsid w:val="00AA0BC3"/>
    <w:rsid w:val="00AA1CFD"/>
    <w:rsid w:val="00AA2239"/>
    <w:rsid w:val="00AA33D2"/>
    <w:rsid w:val="00AA40DB"/>
    <w:rsid w:val="00AA783C"/>
    <w:rsid w:val="00AB074E"/>
    <w:rsid w:val="00AB0C57"/>
    <w:rsid w:val="00AB1195"/>
    <w:rsid w:val="00AB4182"/>
    <w:rsid w:val="00AC27DB"/>
    <w:rsid w:val="00AC6D6B"/>
    <w:rsid w:val="00AD2877"/>
    <w:rsid w:val="00AD7736"/>
    <w:rsid w:val="00AE0B46"/>
    <w:rsid w:val="00AE10CE"/>
    <w:rsid w:val="00AE1554"/>
    <w:rsid w:val="00AE70D4"/>
    <w:rsid w:val="00AE7868"/>
    <w:rsid w:val="00AE7BAF"/>
    <w:rsid w:val="00AF0407"/>
    <w:rsid w:val="00AF049B"/>
    <w:rsid w:val="00AF1B09"/>
    <w:rsid w:val="00AF36EA"/>
    <w:rsid w:val="00AF4D8B"/>
    <w:rsid w:val="00B05FA0"/>
    <w:rsid w:val="00B067CA"/>
    <w:rsid w:val="00B12B26"/>
    <w:rsid w:val="00B163F8"/>
    <w:rsid w:val="00B2472D"/>
    <w:rsid w:val="00B24CA0"/>
    <w:rsid w:val="00B2549F"/>
    <w:rsid w:val="00B4108D"/>
    <w:rsid w:val="00B473D9"/>
    <w:rsid w:val="00B57265"/>
    <w:rsid w:val="00B633AE"/>
    <w:rsid w:val="00B6513D"/>
    <w:rsid w:val="00B6595C"/>
    <w:rsid w:val="00B665D2"/>
    <w:rsid w:val="00B6737C"/>
    <w:rsid w:val="00B7214D"/>
    <w:rsid w:val="00B74372"/>
    <w:rsid w:val="00B75525"/>
    <w:rsid w:val="00B80283"/>
    <w:rsid w:val="00B8095F"/>
    <w:rsid w:val="00B80B0C"/>
    <w:rsid w:val="00B80B11"/>
    <w:rsid w:val="00B831AE"/>
    <w:rsid w:val="00B8446C"/>
    <w:rsid w:val="00B87725"/>
    <w:rsid w:val="00B93F2C"/>
    <w:rsid w:val="00B96222"/>
    <w:rsid w:val="00BA259A"/>
    <w:rsid w:val="00BA259C"/>
    <w:rsid w:val="00BA29D3"/>
    <w:rsid w:val="00BA307F"/>
    <w:rsid w:val="00BA5280"/>
    <w:rsid w:val="00BB04A2"/>
    <w:rsid w:val="00BB14F1"/>
    <w:rsid w:val="00BB56FD"/>
    <w:rsid w:val="00BB572E"/>
    <w:rsid w:val="00BB74FD"/>
    <w:rsid w:val="00BC5982"/>
    <w:rsid w:val="00BC60BF"/>
    <w:rsid w:val="00BD28BF"/>
    <w:rsid w:val="00BD2D12"/>
    <w:rsid w:val="00BD6404"/>
    <w:rsid w:val="00BD64EC"/>
    <w:rsid w:val="00BD7B85"/>
    <w:rsid w:val="00BE33AE"/>
    <w:rsid w:val="00BE60D5"/>
    <w:rsid w:val="00BF046F"/>
    <w:rsid w:val="00BF600C"/>
    <w:rsid w:val="00C01D50"/>
    <w:rsid w:val="00C056DC"/>
    <w:rsid w:val="00C1040E"/>
    <w:rsid w:val="00C1329B"/>
    <w:rsid w:val="00C1572F"/>
    <w:rsid w:val="00C24C05"/>
    <w:rsid w:val="00C24D2F"/>
    <w:rsid w:val="00C26222"/>
    <w:rsid w:val="00C3057C"/>
    <w:rsid w:val="00C31283"/>
    <w:rsid w:val="00C33C48"/>
    <w:rsid w:val="00C340E5"/>
    <w:rsid w:val="00C35AA7"/>
    <w:rsid w:val="00C361A1"/>
    <w:rsid w:val="00C36309"/>
    <w:rsid w:val="00C366DD"/>
    <w:rsid w:val="00C43BA1"/>
    <w:rsid w:val="00C43DAB"/>
    <w:rsid w:val="00C471D4"/>
    <w:rsid w:val="00C47C25"/>
    <w:rsid w:val="00C47F08"/>
    <w:rsid w:val="00C514A6"/>
    <w:rsid w:val="00C53B74"/>
    <w:rsid w:val="00C53BFC"/>
    <w:rsid w:val="00C562E9"/>
    <w:rsid w:val="00C5739F"/>
    <w:rsid w:val="00C57CF0"/>
    <w:rsid w:val="00C63557"/>
    <w:rsid w:val="00C649BD"/>
    <w:rsid w:val="00C65891"/>
    <w:rsid w:val="00C66AC9"/>
    <w:rsid w:val="00C67E2B"/>
    <w:rsid w:val="00C724D3"/>
    <w:rsid w:val="00C77DD9"/>
    <w:rsid w:val="00C83BE6"/>
    <w:rsid w:val="00C85354"/>
    <w:rsid w:val="00C86ABA"/>
    <w:rsid w:val="00C90C53"/>
    <w:rsid w:val="00C943F3"/>
    <w:rsid w:val="00C96756"/>
    <w:rsid w:val="00CA08C6"/>
    <w:rsid w:val="00CA0A77"/>
    <w:rsid w:val="00CA2729"/>
    <w:rsid w:val="00CA3057"/>
    <w:rsid w:val="00CA45F8"/>
    <w:rsid w:val="00CA7A4C"/>
    <w:rsid w:val="00CB0305"/>
    <w:rsid w:val="00CB03C4"/>
    <w:rsid w:val="00CB33C7"/>
    <w:rsid w:val="00CB50DD"/>
    <w:rsid w:val="00CB6DA7"/>
    <w:rsid w:val="00CB7E4C"/>
    <w:rsid w:val="00CC25B4"/>
    <w:rsid w:val="00CC4574"/>
    <w:rsid w:val="00CC5F88"/>
    <w:rsid w:val="00CC69C8"/>
    <w:rsid w:val="00CC77A2"/>
    <w:rsid w:val="00CD07BD"/>
    <w:rsid w:val="00CD2ACB"/>
    <w:rsid w:val="00CD307E"/>
    <w:rsid w:val="00CD629F"/>
    <w:rsid w:val="00CD6A1B"/>
    <w:rsid w:val="00CE0A7F"/>
    <w:rsid w:val="00CE1718"/>
    <w:rsid w:val="00CF4156"/>
    <w:rsid w:val="00CF5171"/>
    <w:rsid w:val="00D00143"/>
    <w:rsid w:val="00D0036C"/>
    <w:rsid w:val="00D0399E"/>
    <w:rsid w:val="00D03D00"/>
    <w:rsid w:val="00D04B40"/>
    <w:rsid w:val="00D05C30"/>
    <w:rsid w:val="00D10052"/>
    <w:rsid w:val="00D11359"/>
    <w:rsid w:val="00D3188C"/>
    <w:rsid w:val="00D35F9B"/>
    <w:rsid w:val="00D36B69"/>
    <w:rsid w:val="00D408DD"/>
    <w:rsid w:val="00D45D72"/>
    <w:rsid w:val="00D520E4"/>
    <w:rsid w:val="00D53A38"/>
    <w:rsid w:val="00D575DD"/>
    <w:rsid w:val="00D57983"/>
    <w:rsid w:val="00D57DFA"/>
    <w:rsid w:val="00D6252C"/>
    <w:rsid w:val="00D67FCF"/>
    <w:rsid w:val="00D707E5"/>
    <w:rsid w:val="00D709CE"/>
    <w:rsid w:val="00D71F73"/>
    <w:rsid w:val="00D7734D"/>
    <w:rsid w:val="00D80786"/>
    <w:rsid w:val="00D81CAB"/>
    <w:rsid w:val="00D8576F"/>
    <w:rsid w:val="00D8677F"/>
    <w:rsid w:val="00D97F0C"/>
    <w:rsid w:val="00DA0C11"/>
    <w:rsid w:val="00DA3A86"/>
    <w:rsid w:val="00DB3147"/>
    <w:rsid w:val="00DB565A"/>
    <w:rsid w:val="00DC2500"/>
    <w:rsid w:val="00DC4F72"/>
    <w:rsid w:val="00DC77DC"/>
    <w:rsid w:val="00DC7B5C"/>
    <w:rsid w:val="00DD0453"/>
    <w:rsid w:val="00DD0C2C"/>
    <w:rsid w:val="00DD19DE"/>
    <w:rsid w:val="00DD1EFA"/>
    <w:rsid w:val="00DD28BC"/>
    <w:rsid w:val="00DD6BA4"/>
    <w:rsid w:val="00DE31F0"/>
    <w:rsid w:val="00DE3D1C"/>
    <w:rsid w:val="00DE6215"/>
    <w:rsid w:val="00DF3636"/>
    <w:rsid w:val="00E01A25"/>
    <w:rsid w:val="00E0227D"/>
    <w:rsid w:val="00E03EF7"/>
    <w:rsid w:val="00E04B84"/>
    <w:rsid w:val="00E06466"/>
    <w:rsid w:val="00E06835"/>
    <w:rsid w:val="00E06FDA"/>
    <w:rsid w:val="00E160A5"/>
    <w:rsid w:val="00E1713D"/>
    <w:rsid w:val="00E20A43"/>
    <w:rsid w:val="00E22B8C"/>
    <w:rsid w:val="00E23898"/>
    <w:rsid w:val="00E25B8A"/>
    <w:rsid w:val="00E319F1"/>
    <w:rsid w:val="00E33CD2"/>
    <w:rsid w:val="00E37B1C"/>
    <w:rsid w:val="00E40E90"/>
    <w:rsid w:val="00E45C7E"/>
    <w:rsid w:val="00E531EB"/>
    <w:rsid w:val="00E54874"/>
    <w:rsid w:val="00E54B6F"/>
    <w:rsid w:val="00E55042"/>
    <w:rsid w:val="00E55ACA"/>
    <w:rsid w:val="00E57B74"/>
    <w:rsid w:val="00E65BC6"/>
    <w:rsid w:val="00E661FF"/>
    <w:rsid w:val="00E71475"/>
    <w:rsid w:val="00E726EB"/>
    <w:rsid w:val="00E72CF1"/>
    <w:rsid w:val="00E80B52"/>
    <w:rsid w:val="00E824C3"/>
    <w:rsid w:val="00E840B3"/>
    <w:rsid w:val="00E84D10"/>
    <w:rsid w:val="00E8629F"/>
    <w:rsid w:val="00E91008"/>
    <w:rsid w:val="00E9374E"/>
    <w:rsid w:val="00E94F54"/>
    <w:rsid w:val="00E9579E"/>
    <w:rsid w:val="00E97AD5"/>
    <w:rsid w:val="00EA1111"/>
    <w:rsid w:val="00EA3B4F"/>
    <w:rsid w:val="00EA3C24"/>
    <w:rsid w:val="00EA73DF"/>
    <w:rsid w:val="00EB4889"/>
    <w:rsid w:val="00EB61AE"/>
    <w:rsid w:val="00EC322D"/>
    <w:rsid w:val="00ED383A"/>
    <w:rsid w:val="00ED4F5C"/>
    <w:rsid w:val="00EE1080"/>
    <w:rsid w:val="00EE1181"/>
    <w:rsid w:val="00EF1EC5"/>
    <w:rsid w:val="00EF24C6"/>
    <w:rsid w:val="00EF4C88"/>
    <w:rsid w:val="00EF55EB"/>
    <w:rsid w:val="00EF6A4D"/>
    <w:rsid w:val="00F00DCC"/>
    <w:rsid w:val="00F0156F"/>
    <w:rsid w:val="00F03C22"/>
    <w:rsid w:val="00F04941"/>
    <w:rsid w:val="00F05AC8"/>
    <w:rsid w:val="00F07167"/>
    <w:rsid w:val="00F072D8"/>
    <w:rsid w:val="00F07CE0"/>
    <w:rsid w:val="00F10EDE"/>
    <w:rsid w:val="00F115F5"/>
    <w:rsid w:val="00F13D05"/>
    <w:rsid w:val="00F1679D"/>
    <w:rsid w:val="00F1682C"/>
    <w:rsid w:val="00F20B91"/>
    <w:rsid w:val="00F21139"/>
    <w:rsid w:val="00F24B8B"/>
    <w:rsid w:val="00F30D2E"/>
    <w:rsid w:val="00F33125"/>
    <w:rsid w:val="00F35516"/>
    <w:rsid w:val="00F35790"/>
    <w:rsid w:val="00F4136D"/>
    <w:rsid w:val="00F4212E"/>
    <w:rsid w:val="00F42C20"/>
    <w:rsid w:val="00F434B3"/>
    <w:rsid w:val="00F438FF"/>
    <w:rsid w:val="00F43E34"/>
    <w:rsid w:val="00F44021"/>
    <w:rsid w:val="00F472F0"/>
    <w:rsid w:val="00F4773C"/>
    <w:rsid w:val="00F53053"/>
    <w:rsid w:val="00F53FE2"/>
    <w:rsid w:val="00F556A7"/>
    <w:rsid w:val="00F575FF"/>
    <w:rsid w:val="00F618EF"/>
    <w:rsid w:val="00F65582"/>
    <w:rsid w:val="00F66E75"/>
    <w:rsid w:val="00F7147C"/>
    <w:rsid w:val="00F77EB0"/>
    <w:rsid w:val="00F80B58"/>
    <w:rsid w:val="00F80BB3"/>
    <w:rsid w:val="00F85B63"/>
    <w:rsid w:val="00F8638B"/>
    <w:rsid w:val="00F8707A"/>
    <w:rsid w:val="00F87CDD"/>
    <w:rsid w:val="00F933F0"/>
    <w:rsid w:val="00F937A3"/>
    <w:rsid w:val="00F94715"/>
    <w:rsid w:val="00F95A7B"/>
    <w:rsid w:val="00F96A3D"/>
    <w:rsid w:val="00F97B35"/>
    <w:rsid w:val="00FA4718"/>
    <w:rsid w:val="00FA5848"/>
    <w:rsid w:val="00FA6899"/>
    <w:rsid w:val="00FA7F3D"/>
    <w:rsid w:val="00FB38D8"/>
    <w:rsid w:val="00FB797E"/>
    <w:rsid w:val="00FC051F"/>
    <w:rsid w:val="00FC06FF"/>
    <w:rsid w:val="00FC442A"/>
    <w:rsid w:val="00FC45F4"/>
    <w:rsid w:val="00FC69B4"/>
    <w:rsid w:val="00FD0694"/>
    <w:rsid w:val="00FD25BE"/>
    <w:rsid w:val="00FD2E70"/>
    <w:rsid w:val="00FD7AA7"/>
    <w:rsid w:val="00FD7CFB"/>
    <w:rsid w:val="00FF097B"/>
    <w:rsid w:val="00FF1FCB"/>
    <w:rsid w:val="00FF52D4"/>
    <w:rsid w:val="00FF6AA4"/>
    <w:rsid w:val="00FF6B09"/>
    <w:rsid w:val="5E49F90C"/>
    <w:rsid w:val="6FE195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BAA55A"/>
  <w15:docId w15:val="{2B24D535-18C1-D746-8B8A-012164A20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contribution_L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CBCF6-12A9-439D-856E-A14F7461108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E81C368C-BF18-485F-8728-2C95738FD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BB3E8-F2FE-499D-AA79-82133CBD5200}">
  <ds:schemaRefs>
    <ds:schemaRef ds:uri="http://schemas.microsoft.com/sharepoint/v3/contenttype/forms"/>
  </ds:schemaRefs>
</ds:datastoreItem>
</file>

<file path=customXml/itemProps4.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3GPP_contribution_LS_template.dotx</Template>
  <TotalTime>42</TotalTime>
  <Pages>2</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Deep Shrestha</cp:lastModifiedBy>
  <cp:revision>237</cp:revision>
  <cp:lastPrinted>2019-04-25T01:09:00Z</cp:lastPrinted>
  <dcterms:created xsi:type="dcterms:W3CDTF">2022-06-03T08:23:00Z</dcterms:created>
  <dcterms:modified xsi:type="dcterms:W3CDTF">2022-08-10T18:59:00Z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MediaServiceImageTags">
    <vt:lpwstr/>
  </property>
</Properties>
</file>